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9FC3" w14:textId="61D6D83A" w:rsidR="00D71A02" w:rsidRPr="00B87971" w:rsidRDefault="00CA605C" w:rsidP="00FF7DD0">
      <w:pPr>
        <w:adjustRightInd w:val="0"/>
        <w:snapToGrid w:val="0"/>
        <w:spacing w:after="0" w:line="276" w:lineRule="auto"/>
        <w:jc w:val="center"/>
        <w:rPr>
          <w:rFonts w:ascii="Cambria" w:hAnsi="Cambria" w:cs="Times New Roman"/>
          <w:b/>
          <w:sz w:val="30"/>
          <w:szCs w:val="30"/>
        </w:rPr>
      </w:pPr>
      <w:bookmarkStart w:id="0" w:name="_Hlk20390481"/>
      <w:r w:rsidRPr="00B87971">
        <w:rPr>
          <w:rFonts w:ascii="Cambria" w:hAnsi="Cambria" w:cs="Times New Roman"/>
          <w:b/>
          <w:sz w:val="30"/>
          <w:szCs w:val="30"/>
        </w:rPr>
        <w:t>KINH</w:t>
      </w:r>
      <w:r w:rsidRPr="00B87971">
        <w:rPr>
          <w:rFonts w:ascii="Cambria" w:hAnsi="Cambria" w:cs="Times New Roman"/>
          <w:b/>
          <w:sz w:val="30"/>
          <w:szCs w:val="30"/>
          <w:lang w:val="vi-VN"/>
        </w:rPr>
        <w:t xml:space="preserve"> NGHI</w:t>
      </w:r>
      <w:r w:rsidRPr="00B87971">
        <w:rPr>
          <w:rFonts w:ascii="Times New Roman" w:hAnsi="Times New Roman" w:cs="Times New Roman"/>
          <w:b/>
          <w:sz w:val="30"/>
          <w:szCs w:val="30"/>
          <w:lang w:val="vi-VN"/>
        </w:rPr>
        <w:t>Ệ</w:t>
      </w:r>
      <w:r w:rsidRPr="00B87971">
        <w:rPr>
          <w:rFonts w:ascii="Cambria" w:hAnsi="Cambria" w:cs="Times New Roman"/>
          <w:b/>
          <w:sz w:val="30"/>
          <w:szCs w:val="30"/>
          <w:lang w:val="vi-VN"/>
        </w:rPr>
        <w:t>M</w:t>
      </w:r>
      <w:r w:rsidR="008A097F" w:rsidRPr="00B87971">
        <w:rPr>
          <w:rFonts w:ascii="Cambria" w:hAnsi="Cambria" w:cs="Times New Roman"/>
          <w:b/>
          <w:sz w:val="30"/>
          <w:szCs w:val="30"/>
        </w:rPr>
        <w:t xml:space="preserve"> CÁC N</w:t>
      </w:r>
      <w:r w:rsidR="008A097F" w:rsidRPr="00B87971">
        <w:rPr>
          <w:rFonts w:ascii="Times New Roman" w:hAnsi="Times New Roman" w:cs="Times New Roman"/>
          <w:b/>
          <w:sz w:val="30"/>
          <w:szCs w:val="30"/>
        </w:rPr>
        <w:t>ƯỚ</w:t>
      </w:r>
      <w:r w:rsidR="008A097F" w:rsidRPr="00B87971">
        <w:rPr>
          <w:rFonts w:ascii="Cambria" w:hAnsi="Cambria" w:cs="Times New Roman"/>
          <w:b/>
          <w:sz w:val="30"/>
          <w:szCs w:val="30"/>
        </w:rPr>
        <w:t xml:space="preserve">C </w:t>
      </w:r>
      <w:r w:rsidR="00162658" w:rsidRPr="00B87971">
        <w:rPr>
          <w:rFonts w:ascii="Cambria" w:hAnsi="Cambria" w:cs="Times New Roman"/>
          <w:b/>
          <w:sz w:val="30"/>
          <w:szCs w:val="30"/>
        </w:rPr>
        <w:t>V</w:t>
      </w:r>
      <w:r w:rsidR="00162658" w:rsidRPr="00B87971">
        <w:rPr>
          <w:rFonts w:ascii="Times New Roman" w:hAnsi="Times New Roman" w:cs="Times New Roman"/>
          <w:b/>
          <w:sz w:val="30"/>
          <w:szCs w:val="30"/>
        </w:rPr>
        <w:t>Ề</w:t>
      </w:r>
      <w:r w:rsidR="00162658" w:rsidRPr="00B87971">
        <w:rPr>
          <w:rFonts w:ascii="Cambria" w:hAnsi="Cambria" w:cs="Times New Roman"/>
          <w:b/>
          <w:sz w:val="30"/>
          <w:szCs w:val="30"/>
        </w:rPr>
        <w:t xml:space="preserve"> ĐI</w:t>
      </w:r>
      <w:r w:rsidR="00162658" w:rsidRPr="00B87971">
        <w:rPr>
          <w:rFonts w:ascii="Times New Roman" w:hAnsi="Times New Roman" w:cs="Times New Roman"/>
          <w:b/>
          <w:sz w:val="30"/>
          <w:szCs w:val="30"/>
        </w:rPr>
        <w:t>Ề</w:t>
      </w:r>
      <w:r w:rsidR="00162658" w:rsidRPr="00B87971">
        <w:rPr>
          <w:rFonts w:ascii="Cambria" w:hAnsi="Cambria" w:cs="Times New Roman"/>
          <w:b/>
          <w:sz w:val="30"/>
          <w:szCs w:val="30"/>
        </w:rPr>
        <w:t>U KHO</w:t>
      </w:r>
      <w:r w:rsidR="00162658" w:rsidRPr="00B87971">
        <w:rPr>
          <w:rFonts w:ascii="Times New Roman" w:hAnsi="Times New Roman" w:cs="Times New Roman"/>
          <w:b/>
          <w:sz w:val="30"/>
          <w:szCs w:val="30"/>
        </w:rPr>
        <w:t>Ả</w:t>
      </w:r>
      <w:r w:rsidR="00162658" w:rsidRPr="00B87971">
        <w:rPr>
          <w:rFonts w:ascii="Cambria" w:hAnsi="Cambria" w:cs="Times New Roman"/>
          <w:b/>
          <w:sz w:val="30"/>
          <w:szCs w:val="30"/>
        </w:rPr>
        <w:t>N GI</w:t>
      </w:r>
      <w:r w:rsidR="00162658" w:rsidRPr="00B87971">
        <w:rPr>
          <w:rFonts w:ascii="Times New Roman" w:hAnsi="Times New Roman" w:cs="Times New Roman"/>
          <w:b/>
          <w:sz w:val="30"/>
          <w:szCs w:val="30"/>
        </w:rPr>
        <w:t>Ớ</w:t>
      </w:r>
      <w:r w:rsidR="00162658" w:rsidRPr="00B87971">
        <w:rPr>
          <w:rFonts w:ascii="Cambria" w:hAnsi="Cambria" w:cs="Times New Roman"/>
          <w:b/>
          <w:sz w:val="30"/>
          <w:szCs w:val="30"/>
        </w:rPr>
        <w:t>I H</w:t>
      </w:r>
      <w:r w:rsidR="00162658" w:rsidRPr="00B87971">
        <w:rPr>
          <w:rFonts w:ascii="Times New Roman" w:hAnsi="Times New Roman" w:cs="Times New Roman"/>
          <w:b/>
          <w:sz w:val="30"/>
          <w:szCs w:val="30"/>
        </w:rPr>
        <w:t>Ạ</w:t>
      </w:r>
      <w:r w:rsidR="00162658" w:rsidRPr="00B87971">
        <w:rPr>
          <w:rFonts w:ascii="Cambria" w:hAnsi="Cambria" w:cs="Times New Roman"/>
          <w:b/>
          <w:sz w:val="30"/>
          <w:szCs w:val="30"/>
        </w:rPr>
        <w:t>N</w:t>
      </w:r>
    </w:p>
    <w:p w14:paraId="1E31FEED" w14:textId="0A32017D" w:rsidR="009A0DDA" w:rsidRPr="00B87971" w:rsidRDefault="00162658" w:rsidP="00FF7DD0">
      <w:pPr>
        <w:adjustRightInd w:val="0"/>
        <w:snapToGrid w:val="0"/>
        <w:spacing w:after="0" w:line="276" w:lineRule="auto"/>
        <w:jc w:val="center"/>
        <w:rPr>
          <w:rFonts w:ascii="Cambria" w:hAnsi="Cambria" w:cs="Times New Roman"/>
          <w:b/>
          <w:sz w:val="30"/>
          <w:szCs w:val="30"/>
        </w:rPr>
      </w:pPr>
      <w:r w:rsidRPr="00B87971">
        <w:rPr>
          <w:rFonts w:ascii="Cambria" w:hAnsi="Cambria" w:cs="Times New Roman"/>
          <w:b/>
          <w:sz w:val="30"/>
          <w:szCs w:val="30"/>
        </w:rPr>
        <w:t>KINH DOANH</w:t>
      </w:r>
      <w:r w:rsidR="00D71A02" w:rsidRPr="00B87971">
        <w:rPr>
          <w:rFonts w:ascii="Cambria" w:hAnsi="Cambria" w:cs="Times New Roman"/>
          <w:b/>
          <w:sz w:val="30"/>
          <w:szCs w:val="30"/>
        </w:rPr>
        <w:t xml:space="preserve"> </w:t>
      </w:r>
      <w:r w:rsidRPr="00B87971">
        <w:rPr>
          <w:rFonts w:ascii="Cambria" w:hAnsi="Cambria" w:cs="Times New Roman"/>
          <w:b/>
          <w:sz w:val="30"/>
          <w:szCs w:val="30"/>
        </w:rPr>
        <w:t>TRONG H</w:t>
      </w:r>
      <w:r w:rsidRPr="00B87971">
        <w:rPr>
          <w:rFonts w:ascii="Times New Roman" w:hAnsi="Times New Roman" w:cs="Times New Roman"/>
          <w:b/>
          <w:sz w:val="30"/>
          <w:szCs w:val="30"/>
        </w:rPr>
        <w:t>Ợ</w:t>
      </w:r>
      <w:r w:rsidRPr="00B87971">
        <w:rPr>
          <w:rFonts w:ascii="Cambria" w:hAnsi="Cambria" w:cs="Times New Roman"/>
          <w:b/>
          <w:sz w:val="30"/>
          <w:szCs w:val="30"/>
        </w:rPr>
        <w:t>P Đ</w:t>
      </w:r>
      <w:r w:rsidRPr="00B87971">
        <w:rPr>
          <w:rFonts w:ascii="Times New Roman" w:hAnsi="Times New Roman" w:cs="Times New Roman"/>
          <w:b/>
          <w:sz w:val="30"/>
          <w:szCs w:val="30"/>
        </w:rPr>
        <w:t>Ồ</w:t>
      </w:r>
      <w:r w:rsidRPr="00B87971">
        <w:rPr>
          <w:rFonts w:ascii="Cambria" w:hAnsi="Cambria" w:cs="Times New Roman"/>
          <w:b/>
          <w:sz w:val="30"/>
          <w:szCs w:val="30"/>
        </w:rPr>
        <w:t>NG LAO Đ</w:t>
      </w:r>
      <w:r w:rsidRPr="00B87971">
        <w:rPr>
          <w:rFonts w:ascii="Times New Roman" w:hAnsi="Times New Roman" w:cs="Times New Roman"/>
          <w:b/>
          <w:sz w:val="30"/>
          <w:szCs w:val="30"/>
        </w:rPr>
        <w:t>Ộ</w:t>
      </w:r>
      <w:r w:rsidRPr="00B87971">
        <w:rPr>
          <w:rFonts w:ascii="Cambria" w:hAnsi="Cambria" w:cs="Times New Roman"/>
          <w:b/>
          <w:sz w:val="30"/>
          <w:szCs w:val="30"/>
        </w:rPr>
        <w:t>NG</w:t>
      </w:r>
    </w:p>
    <w:p w14:paraId="58AE6373" w14:textId="2B90EC59" w:rsidR="00DC7E26" w:rsidRPr="00B87971" w:rsidRDefault="00DC7E26" w:rsidP="00DC7E26">
      <w:pPr>
        <w:adjustRightInd w:val="0"/>
        <w:snapToGrid w:val="0"/>
        <w:spacing w:after="0" w:line="276" w:lineRule="auto"/>
        <w:jc w:val="right"/>
        <w:rPr>
          <w:rFonts w:ascii="Cambria" w:hAnsi="Cambria" w:cs="Times New Roman"/>
          <w:b/>
          <w:sz w:val="30"/>
          <w:szCs w:val="30"/>
        </w:rPr>
      </w:pPr>
      <w:proofErr w:type="spellStart"/>
      <w:r w:rsidRPr="00B87971">
        <w:rPr>
          <w:rFonts w:ascii="Cambria" w:hAnsi="Cambria" w:cs="Times New Roman"/>
          <w:b/>
          <w:sz w:val="28"/>
          <w:szCs w:val="30"/>
        </w:rPr>
        <w:t>Trương</w:t>
      </w:r>
      <w:proofErr w:type="spellEnd"/>
      <w:r w:rsidRPr="00B87971">
        <w:rPr>
          <w:rFonts w:ascii="Cambria" w:hAnsi="Cambria" w:cs="Times New Roman"/>
          <w:b/>
          <w:sz w:val="28"/>
          <w:szCs w:val="30"/>
        </w:rPr>
        <w:t xml:space="preserve"> </w:t>
      </w:r>
      <w:proofErr w:type="spellStart"/>
      <w:r w:rsidRPr="00B87971">
        <w:rPr>
          <w:rFonts w:ascii="Cambria" w:hAnsi="Cambria" w:cs="Times New Roman"/>
          <w:b/>
          <w:sz w:val="28"/>
          <w:szCs w:val="30"/>
        </w:rPr>
        <w:t>Trọng</w:t>
      </w:r>
      <w:proofErr w:type="spellEnd"/>
      <w:r w:rsidRPr="00B87971">
        <w:rPr>
          <w:rFonts w:ascii="Cambria" w:hAnsi="Cambria" w:cs="Times New Roman"/>
          <w:b/>
          <w:sz w:val="28"/>
          <w:szCs w:val="30"/>
        </w:rPr>
        <w:t xml:space="preserve"> </w:t>
      </w:r>
      <w:proofErr w:type="spellStart"/>
      <w:r w:rsidRPr="00B87971">
        <w:rPr>
          <w:rFonts w:ascii="Cambria" w:hAnsi="Cambria" w:cs="Times New Roman"/>
          <w:b/>
          <w:sz w:val="28"/>
          <w:szCs w:val="30"/>
        </w:rPr>
        <w:t>Hiểu</w:t>
      </w:r>
      <w:proofErr w:type="spellEnd"/>
    </w:p>
    <w:bookmarkEnd w:id="0"/>
    <w:p w14:paraId="68B3D96F" w14:textId="77777777" w:rsidR="00AD2A36" w:rsidRPr="00B87971" w:rsidRDefault="00AD2A36" w:rsidP="00AD2A36">
      <w:pPr>
        <w:pBdr>
          <w:top w:val="nil"/>
          <w:left w:val="nil"/>
          <w:bottom w:val="single" w:sz="4" w:space="1" w:color="000000"/>
          <w:right w:val="nil"/>
          <w:between w:val="nil"/>
        </w:pBdr>
        <w:spacing w:line="240" w:lineRule="auto"/>
        <w:jc w:val="center"/>
        <w:rPr>
          <w:i/>
          <w:color w:val="000000"/>
        </w:rPr>
      </w:pPr>
    </w:p>
    <w:p w14:paraId="7883ED2A" w14:textId="6840C433" w:rsidR="00707551" w:rsidRPr="00B87971" w:rsidRDefault="00AD2A36" w:rsidP="00AD2A36">
      <w:pPr>
        <w:adjustRightInd w:val="0"/>
        <w:snapToGrid w:val="0"/>
        <w:spacing w:after="120" w:line="276" w:lineRule="auto"/>
        <w:jc w:val="both"/>
        <w:rPr>
          <w:rFonts w:ascii="Times New Roman" w:hAnsi="Times New Roman" w:cs="Times New Roman"/>
          <w:b/>
          <w:sz w:val="24"/>
          <w:szCs w:val="24"/>
        </w:rPr>
      </w:pPr>
      <w:r w:rsidRPr="00B87971">
        <w:rPr>
          <w:rFonts w:ascii="Times New Roman" w:hAnsi="Times New Roman" w:cs="Times New Roman"/>
          <w:b/>
          <w:sz w:val="24"/>
          <w:szCs w:val="24"/>
        </w:rPr>
        <w:t>TÓM TẮT</w:t>
      </w:r>
      <w:r w:rsidR="00707551" w:rsidRPr="00B87971">
        <w:rPr>
          <w:rFonts w:ascii="Times New Roman" w:hAnsi="Times New Roman" w:cs="Times New Roman"/>
          <w:b/>
          <w:sz w:val="24"/>
          <w:szCs w:val="24"/>
          <w:lang w:val="vi-VN"/>
        </w:rPr>
        <w:t xml:space="preserve"> </w:t>
      </w:r>
      <w:r w:rsidR="009A0DDA" w:rsidRPr="00B87971">
        <w:rPr>
          <w:rFonts w:ascii="Times New Roman" w:hAnsi="Times New Roman" w:cs="Times New Roman"/>
          <w:b/>
          <w:sz w:val="24"/>
          <w:szCs w:val="24"/>
        </w:rPr>
        <w:tab/>
      </w:r>
    </w:p>
    <w:p w14:paraId="3E9DDA01" w14:textId="4487E183" w:rsidR="00987AA8" w:rsidRPr="00B87971" w:rsidRDefault="008551DE" w:rsidP="008204F7">
      <w:pPr>
        <w:adjustRightInd w:val="0"/>
        <w:snapToGrid w:val="0"/>
        <w:spacing w:after="120" w:line="276" w:lineRule="auto"/>
        <w:jc w:val="both"/>
        <w:rPr>
          <w:rFonts w:ascii="Times New Roman" w:hAnsi="Times New Roman" w:cs="Times New Roman"/>
          <w:i/>
          <w:iCs/>
          <w:sz w:val="24"/>
          <w:szCs w:val="24"/>
          <w:lang w:val="vi-VN"/>
        </w:rPr>
      </w:pPr>
      <w:bookmarkStart w:id="1" w:name="_Hlk20390458"/>
      <w:proofErr w:type="spellStart"/>
      <w:r w:rsidRPr="00B87971">
        <w:rPr>
          <w:rFonts w:ascii="Times New Roman" w:hAnsi="Times New Roman" w:cs="Times New Roman"/>
          <w:i/>
          <w:iCs/>
          <w:sz w:val="24"/>
          <w:szCs w:val="24"/>
        </w:rPr>
        <w:t>Bộ</w:t>
      </w:r>
      <w:proofErr w:type="spellEnd"/>
      <w:r w:rsidRPr="00B87971">
        <w:rPr>
          <w:rFonts w:ascii="Times New Roman" w:hAnsi="Times New Roman" w:cs="Times New Roman"/>
          <w:i/>
          <w:iCs/>
          <w:sz w:val="24"/>
          <w:szCs w:val="24"/>
          <w:lang w:val="vi-VN"/>
        </w:rPr>
        <w:t xml:space="preserve"> luật lao động năm 2012 chính thức ghi nhận sự tồn tại của điều khoản bảo mật trong hợp đồng lao động. Trên thực tế, việc vận dụng điều khoản này trong nhiều hợp </w:t>
      </w:r>
      <w:r w:rsidR="00707551" w:rsidRPr="00B87971">
        <w:rPr>
          <w:rFonts w:ascii="Times New Roman" w:hAnsi="Times New Roman" w:cs="Times New Roman"/>
          <w:i/>
          <w:iCs/>
          <w:sz w:val="24"/>
          <w:szCs w:val="24"/>
          <w:lang w:val="vi-VN"/>
        </w:rPr>
        <w:t>đồng lao động đã có nhiều biến th</w:t>
      </w:r>
      <w:r w:rsidR="00DC4658" w:rsidRPr="00B87971">
        <w:rPr>
          <w:rFonts w:ascii="Times New Roman" w:hAnsi="Times New Roman" w:cs="Times New Roman"/>
          <w:i/>
          <w:iCs/>
          <w:sz w:val="24"/>
          <w:szCs w:val="24"/>
        </w:rPr>
        <w:t>ể</w:t>
      </w:r>
      <w:r w:rsidR="00707551" w:rsidRPr="00B87971">
        <w:rPr>
          <w:rFonts w:ascii="Times New Roman" w:hAnsi="Times New Roman" w:cs="Times New Roman"/>
          <w:i/>
          <w:iCs/>
          <w:sz w:val="24"/>
          <w:szCs w:val="24"/>
          <w:lang w:val="vi-VN"/>
        </w:rPr>
        <w:t>, và nhiều t</w:t>
      </w:r>
      <w:r w:rsidR="005A3D4E" w:rsidRPr="00B87971">
        <w:rPr>
          <w:rFonts w:ascii="Times New Roman" w:hAnsi="Times New Roman" w:cs="Times New Roman"/>
          <w:i/>
          <w:iCs/>
          <w:sz w:val="24"/>
          <w:szCs w:val="24"/>
          <w:lang w:val="vi-VN"/>
        </w:rPr>
        <w:t>r</w:t>
      </w:r>
      <w:r w:rsidR="00707551" w:rsidRPr="00B87971">
        <w:rPr>
          <w:rFonts w:ascii="Times New Roman" w:hAnsi="Times New Roman" w:cs="Times New Roman"/>
          <w:i/>
          <w:iCs/>
          <w:sz w:val="24"/>
          <w:szCs w:val="24"/>
          <w:lang w:val="vi-VN"/>
        </w:rPr>
        <w:t>ường hợp phát triển thành điều khoản giới hạn quyền của người lao động. Cơ quan giải quyết tranh chấp t</w:t>
      </w:r>
      <w:bookmarkStart w:id="2" w:name="_GoBack"/>
      <w:bookmarkEnd w:id="2"/>
      <w:r w:rsidR="00707551" w:rsidRPr="00B87971">
        <w:rPr>
          <w:rFonts w:ascii="Times New Roman" w:hAnsi="Times New Roman" w:cs="Times New Roman"/>
          <w:i/>
          <w:iCs/>
          <w:sz w:val="24"/>
          <w:szCs w:val="24"/>
          <w:lang w:val="vi-VN"/>
        </w:rPr>
        <w:t>rong một số vụ việc đã chấp nhận cả nội dung giới hạn quyền của người lao động khi nội dung đó ẩn dạng dưới hình thức của điều khoản bảo mật. Sự nhầm nhằng này thực ra đã được pháp luật các nước giải quyết bằng cách ghi nhận sự hiện diện của điều khoản giới hạn kinh doanh trong hợp đồng lao động</w:t>
      </w:r>
      <w:r w:rsidR="005F6958" w:rsidRPr="00B87971">
        <w:rPr>
          <w:rFonts w:ascii="Times New Roman" w:hAnsi="Times New Roman" w:cs="Times New Roman"/>
          <w:i/>
          <w:iCs/>
          <w:sz w:val="24"/>
          <w:szCs w:val="24"/>
          <w:lang w:val="vi-VN"/>
        </w:rPr>
        <w:t xml:space="preserve"> với những điều kiện kèm theo của nó</w:t>
      </w:r>
      <w:r w:rsidR="00707551" w:rsidRPr="00B87971">
        <w:rPr>
          <w:rFonts w:ascii="Times New Roman" w:hAnsi="Times New Roman" w:cs="Times New Roman"/>
          <w:i/>
          <w:iCs/>
          <w:sz w:val="24"/>
          <w:szCs w:val="24"/>
          <w:lang w:val="vi-VN"/>
        </w:rPr>
        <w:t xml:space="preserve">. Trên cơ sở tiếp cận kinh nghiệm quốc tế về điều khoản này, bài viết đưa ra một số gợi ý bước đầu cho việc ghi nhận và bổ sung quy định về điều khoản giới hạn kinh doanh trong hợp đồng lao động. Trong đó, yếu tố quan trọng nhất chính là tính hợp lý của nội dung giới hạn và sự cân bằng lợi ích giữa người sử dụng lao động và người lao động tước điều khoản này. </w:t>
      </w:r>
    </w:p>
    <w:bookmarkEnd w:id="1"/>
    <w:p w14:paraId="424C034C" w14:textId="02BE96A1" w:rsidR="005F6958" w:rsidRPr="00B87971" w:rsidRDefault="005F6958" w:rsidP="00AD2A36">
      <w:pPr>
        <w:adjustRightInd w:val="0"/>
        <w:snapToGrid w:val="0"/>
        <w:spacing w:after="120" w:line="276" w:lineRule="auto"/>
        <w:jc w:val="both"/>
        <w:rPr>
          <w:rFonts w:ascii="Times New Roman" w:hAnsi="Times New Roman" w:cs="Times New Roman"/>
          <w:sz w:val="24"/>
          <w:szCs w:val="24"/>
          <w:lang w:val="vi-VN"/>
        </w:rPr>
      </w:pPr>
      <w:r w:rsidRPr="00B87971">
        <w:rPr>
          <w:rFonts w:ascii="Times New Roman" w:hAnsi="Times New Roman" w:cs="Times New Roman"/>
          <w:b/>
          <w:sz w:val="24"/>
          <w:szCs w:val="24"/>
          <w:lang w:val="vi-VN"/>
        </w:rPr>
        <w:t>Từ khoá:</w:t>
      </w:r>
      <w:r w:rsidRPr="00B87971">
        <w:rPr>
          <w:rFonts w:ascii="Times New Roman" w:hAnsi="Times New Roman" w:cs="Times New Roman"/>
          <w:sz w:val="24"/>
          <w:szCs w:val="24"/>
          <w:lang w:val="vi-VN"/>
        </w:rPr>
        <w:t xml:space="preserve"> </w:t>
      </w:r>
      <w:bookmarkStart w:id="3" w:name="_Hlk20390473"/>
      <w:r w:rsidRPr="00B87971">
        <w:rPr>
          <w:rFonts w:ascii="Times New Roman" w:hAnsi="Times New Roman" w:cs="Times New Roman"/>
          <w:i/>
          <w:iCs/>
          <w:sz w:val="24"/>
          <w:szCs w:val="24"/>
          <w:lang w:val="vi-VN"/>
        </w:rPr>
        <w:t>Hợp đồng lao động, thoả thuận bảo mật, thoả thuận giới hạn kinh doanh, thoả thuận không cạnh tranh.</w:t>
      </w:r>
      <w:r w:rsidRPr="00B87971">
        <w:rPr>
          <w:rFonts w:ascii="Times New Roman" w:hAnsi="Times New Roman" w:cs="Times New Roman"/>
          <w:sz w:val="24"/>
          <w:szCs w:val="24"/>
          <w:lang w:val="vi-VN"/>
        </w:rPr>
        <w:t xml:space="preserve"> </w:t>
      </w:r>
      <w:bookmarkEnd w:id="3"/>
    </w:p>
    <w:p w14:paraId="5772A165" w14:textId="77777777" w:rsidR="00AD2A36" w:rsidRPr="00B87971" w:rsidRDefault="00AD2A36" w:rsidP="00AD2A36">
      <w:pPr>
        <w:pBdr>
          <w:top w:val="nil"/>
          <w:left w:val="nil"/>
          <w:bottom w:val="single" w:sz="4" w:space="1" w:color="000000"/>
          <w:right w:val="nil"/>
          <w:between w:val="nil"/>
        </w:pBdr>
        <w:spacing w:line="276" w:lineRule="auto"/>
        <w:rPr>
          <w:i/>
          <w:color w:val="000000"/>
          <w:sz w:val="24"/>
          <w:szCs w:val="24"/>
        </w:rPr>
      </w:pPr>
      <w:bookmarkStart w:id="4" w:name="_Hlk20390544"/>
    </w:p>
    <w:p w14:paraId="67055255" w14:textId="2F7916C5" w:rsidR="00707551" w:rsidRPr="00B87971" w:rsidRDefault="00707551" w:rsidP="00AD2A36">
      <w:pPr>
        <w:adjustRightInd w:val="0"/>
        <w:snapToGrid w:val="0"/>
        <w:spacing w:after="120" w:line="276" w:lineRule="auto"/>
        <w:jc w:val="both"/>
        <w:rPr>
          <w:rFonts w:ascii="Times New Roman" w:hAnsi="Times New Roman" w:cs="Times New Roman"/>
          <w:b/>
          <w:sz w:val="24"/>
          <w:szCs w:val="24"/>
          <w:lang w:val="vi-VN"/>
        </w:rPr>
      </w:pPr>
      <w:r w:rsidRPr="00B87971">
        <w:rPr>
          <w:rFonts w:ascii="Times New Roman" w:hAnsi="Times New Roman" w:cs="Times New Roman"/>
          <w:b/>
          <w:sz w:val="24"/>
          <w:szCs w:val="24"/>
          <w:lang w:val="vi-VN"/>
        </w:rPr>
        <w:t>Abstract:</w:t>
      </w:r>
    </w:p>
    <w:p w14:paraId="53EC3288" w14:textId="7CB60B72" w:rsidR="005A3D4E" w:rsidRPr="00B87971" w:rsidRDefault="00707551" w:rsidP="00AD2A36">
      <w:pPr>
        <w:adjustRightInd w:val="0"/>
        <w:snapToGrid w:val="0"/>
        <w:spacing w:after="120" w:line="276" w:lineRule="auto"/>
        <w:jc w:val="both"/>
        <w:rPr>
          <w:rFonts w:ascii="Times New Roman" w:hAnsi="Times New Roman" w:cs="Times New Roman"/>
          <w:i/>
          <w:iCs/>
          <w:sz w:val="24"/>
          <w:szCs w:val="24"/>
        </w:rPr>
      </w:pPr>
      <w:r w:rsidRPr="00B87971">
        <w:rPr>
          <w:rFonts w:ascii="Times New Roman" w:hAnsi="Times New Roman" w:cs="Times New Roman"/>
          <w:i/>
          <w:iCs/>
          <w:sz w:val="24"/>
          <w:szCs w:val="24"/>
          <w:lang w:val="vi-VN"/>
        </w:rPr>
        <w:t>Vietnamese L</w:t>
      </w:r>
      <w:r w:rsidR="005A3D4E" w:rsidRPr="00B87971">
        <w:rPr>
          <w:rFonts w:ascii="Times New Roman" w:hAnsi="Times New Roman" w:cs="Times New Roman"/>
          <w:i/>
          <w:iCs/>
          <w:sz w:val="24"/>
          <w:szCs w:val="24"/>
          <w:lang w:val="vi-VN"/>
        </w:rPr>
        <w:t>abor Code e</w:t>
      </w:r>
      <w:proofErr w:type="spellStart"/>
      <w:r w:rsidR="005A3D4E" w:rsidRPr="00B87971">
        <w:rPr>
          <w:rFonts w:ascii="Times New Roman" w:hAnsi="Times New Roman" w:cs="Times New Roman"/>
          <w:i/>
          <w:iCs/>
          <w:sz w:val="24"/>
          <w:szCs w:val="24"/>
        </w:rPr>
        <w:t>nacted</w:t>
      </w:r>
      <w:proofErr w:type="spellEnd"/>
      <w:r w:rsidR="005A3D4E" w:rsidRPr="00B87971">
        <w:rPr>
          <w:rFonts w:ascii="Times New Roman" w:hAnsi="Times New Roman" w:cs="Times New Roman"/>
          <w:i/>
          <w:iCs/>
          <w:sz w:val="24"/>
          <w:szCs w:val="24"/>
        </w:rPr>
        <w:t xml:space="preserve"> in 2012 officially imposes a provision on </w:t>
      </w:r>
      <w:r w:rsidR="005A3D4E" w:rsidRPr="00B87971">
        <w:rPr>
          <w:rFonts w:ascii="Times New Roman" w:hAnsi="Times New Roman" w:cs="Times New Roman"/>
          <w:i/>
          <w:iCs/>
          <w:sz w:val="24"/>
          <w:szCs w:val="24"/>
          <w:lang w:val="vi-VN"/>
        </w:rPr>
        <w:t>non-disclose agreements</w:t>
      </w:r>
      <w:r w:rsidR="005A3D4E" w:rsidRPr="00B87971">
        <w:rPr>
          <w:rFonts w:ascii="Times New Roman" w:hAnsi="Times New Roman" w:cs="Times New Roman"/>
          <w:i/>
          <w:iCs/>
          <w:sz w:val="24"/>
          <w:szCs w:val="24"/>
        </w:rPr>
        <w:t xml:space="preserve"> in employment contracts. The application of this clause results in some different version in practices and makes it a new transformation of restraint of business in employment contracts. Judicial bodies in some labor dispute settlements accepts these non-compete </w:t>
      </w:r>
      <w:proofErr w:type="spellStart"/>
      <w:r w:rsidR="005A3D4E" w:rsidRPr="00B87971">
        <w:rPr>
          <w:rFonts w:ascii="Times New Roman" w:hAnsi="Times New Roman" w:cs="Times New Roman"/>
          <w:i/>
          <w:iCs/>
          <w:sz w:val="24"/>
          <w:szCs w:val="24"/>
        </w:rPr>
        <w:t>convenants</w:t>
      </w:r>
      <w:proofErr w:type="spellEnd"/>
      <w:r w:rsidR="005A3D4E" w:rsidRPr="00B87971">
        <w:rPr>
          <w:rFonts w:ascii="Times New Roman" w:hAnsi="Times New Roman" w:cs="Times New Roman"/>
          <w:i/>
          <w:iCs/>
          <w:sz w:val="24"/>
          <w:szCs w:val="24"/>
        </w:rPr>
        <w:t xml:space="preserve"> whose hidden form</w:t>
      </w:r>
      <w:r w:rsidR="005F6958" w:rsidRPr="00B87971">
        <w:rPr>
          <w:rFonts w:ascii="Times New Roman" w:hAnsi="Times New Roman" w:cs="Times New Roman"/>
          <w:i/>
          <w:iCs/>
          <w:sz w:val="24"/>
          <w:szCs w:val="24"/>
        </w:rPr>
        <w:t>s are</w:t>
      </w:r>
      <w:r w:rsidR="005A3D4E" w:rsidRPr="00B87971">
        <w:rPr>
          <w:rFonts w:ascii="Times New Roman" w:hAnsi="Times New Roman" w:cs="Times New Roman"/>
          <w:i/>
          <w:iCs/>
          <w:sz w:val="24"/>
          <w:szCs w:val="24"/>
        </w:rPr>
        <w:t xml:space="preserve"> even in</w:t>
      </w:r>
      <w:r w:rsidR="005F6958" w:rsidRPr="00B87971">
        <w:rPr>
          <w:rFonts w:ascii="Times New Roman" w:hAnsi="Times New Roman" w:cs="Times New Roman"/>
          <w:i/>
          <w:iCs/>
          <w:sz w:val="24"/>
          <w:szCs w:val="24"/>
        </w:rPr>
        <w:t xml:space="preserve"> </w:t>
      </w:r>
      <w:r w:rsidR="005F6958" w:rsidRPr="00B87971">
        <w:rPr>
          <w:rFonts w:ascii="Times New Roman" w:hAnsi="Times New Roman" w:cs="Times New Roman"/>
          <w:i/>
          <w:iCs/>
          <w:sz w:val="24"/>
          <w:szCs w:val="24"/>
          <w:lang w:val="vi-VN"/>
        </w:rPr>
        <w:t>non-disclose agreements</w:t>
      </w:r>
      <w:r w:rsidR="005F6958" w:rsidRPr="00B87971">
        <w:rPr>
          <w:rFonts w:ascii="Times New Roman" w:hAnsi="Times New Roman" w:cs="Times New Roman"/>
          <w:i/>
          <w:iCs/>
          <w:sz w:val="24"/>
          <w:szCs w:val="24"/>
        </w:rPr>
        <w:t xml:space="preserve">. Many nations have long time experiences to </w:t>
      </w:r>
      <w:proofErr w:type="spellStart"/>
      <w:r w:rsidR="005F6958" w:rsidRPr="00B87971">
        <w:rPr>
          <w:rFonts w:ascii="Times New Roman" w:hAnsi="Times New Roman" w:cs="Times New Roman"/>
          <w:i/>
          <w:iCs/>
          <w:sz w:val="24"/>
          <w:szCs w:val="24"/>
        </w:rPr>
        <w:t>sovle</w:t>
      </w:r>
      <w:proofErr w:type="spellEnd"/>
      <w:r w:rsidR="005F6958" w:rsidRPr="00B87971">
        <w:rPr>
          <w:rFonts w:ascii="Times New Roman" w:hAnsi="Times New Roman" w:cs="Times New Roman"/>
          <w:i/>
          <w:iCs/>
          <w:sz w:val="24"/>
          <w:szCs w:val="24"/>
          <w:lang w:val="vi-VN"/>
        </w:rPr>
        <w:t xml:space="preserve"> </w:t>
      </w:r>
      <w:r w:rsidR="005F6958" w:rsidRPr="00B87971">
        <w:rPr>
          <w:rFonts w:ascii="Times New Roman" w:hAnsi="Times New Roman" w:cs="Times New Roman"/>
          <w:i/>
          <w:iCs/>
          <w:sz w:val="24"/>
          <w:szCs w:val="24"/>
        </w:rPr>
        <w:t xml:space="preserve">this </w:t>
      </w:r>
      <w:r w:rsidR="005F6958" w:rsidRPr="00B87971">
        <w:rPr>
          <w:rFonts w:ascii="Times New Roman" w:hAnsi="Times New Roman" w:cs="Times New Roman"/>
          <w:i/>
          <w:iCs/>
          <w:sz w:val="24"/>
          <w:szCs w:val="24"/>
          <w:lang w:val="vi-VN"/>
        </w:rPr>
        <w:t xml:space="preserve">ambigous dilemma </w:t>
      </w:r>
      <w:r w:rsidR="005F6958" w:rsidRPr="00B87971">
        <w:rPr>
          <w:rFonts w:ascii="Times New Roman" w:hAnsi="Times New Roman" w:cs="Times New Roman"/>
          <w:i/>
          <w:iCs/>
          <w:sz w:val="24"/>
          <w:szCs w:val="24"/>
        </w:rPr>
        <w:t xml:space="preserve">through imposing the existence of a clause of restraints of business in employment contracts with its proper conditions. This writing will base on such significant lessons in order to provide some initial suggestions for Vietnam. Aside from the clause of </w:t>
      </w:r>
      <w:r w:rsidR="005F6958" w:rsidRPr="00B87971">
        <w:rPr>
          <w:rFonts w:ascii="Times New Roman" w:hAnsi="Times New Roman" w:cs="Times New Roman"/>
          <w:i/>
          <w:iCs/>
          <w:sz w:val="24"/>
          <w:szCs w:val="24"/>
          <w:lang w:val="vi-VN"/>
        </w:rPr>
        <w:t>non-disclose agreements</w:t>
      </w:r>
      <w:r w:rsidR="005F6958" w:rsidRPr="00B87971">
        <w:rPr>
          <w:rFonts w:ascii="Times New Roman" w:hAnsi="Times New Roman" w:cs="Times New Roman"/>
          <w:i/>
          <w:iCs/>
          <w:sz w:val="24"/>
          <w:szCs w:val="24"/>
        </w:rPr>
        <w:t xml:space="preserve">, it should approve a clause of non-compete with the following </w:t>
      </w:r>
      <w:proofErr w:type="spellStart"/>
      <w:r w:rsidR="005F6958" w:rsidRPr="00B87971">
        <w:rPr>
          <w:rFonts w:ascii="Times New Roman" w:hAnsi="Times New Roman" w:cs="Times New Roman"/>
          <w:i/>
          <w:iCs/>
          <w:sz w:val="24"/>
          <w:szCs w:val="24"/>
        </w:rPr>
        <w:t>stardard</w:t>
      </w:r>
      <w:proofErr w:type="spellEnd"/>
      <w:r w:rsidR="005F6958" w:rsidRPr="00B87971">
        <w:rPr>
          <w:rFonts w:ascii="Times New Roman" w:hAnsi="Times New Roman" w:cs="Times New Roman"/>
          <w:i/>
          <w:iCs/>
          <w:sz w:val="24"/>
          <w:szCs w:val="24"/>
        </w:rPr>
        <w:t xml:space="preserve"> of its </w:t>
      </w:r>
      <w:r w:rsidR="005F6958" w:rsidRPr="00B87971">
        <w:rPr>
          <w:rFonts w:ascii="Times New Roman" w:hAnsi="Times New Roman" w:cs="Times New Roman"/>
          <w:i/>
          <w:iCs/>
          <w:sz w:val="24"/>
          <w:szCs w:val="24"/>
          <w:lang w:val="vi-VN"/>
        </w:rPr>
        <w:t>reasonableness</w:t>
      </w:r>
      <w:r w:rsidR="005F6958" w:rsidRPr="00B87971">
        <w:rPr>
          <w:rFonts w:ascii="Times New Roman" w:hAnsi="Times New Roman" w:cs="Times New Roman"/>
          <w:i/>
          <w:iCs/>
          <w:sz w:val="24"/>
          <w:szCs w:val="24"/>
        </w:rPr>
        <w:t xml:space="preserve"> as well as beneficial balance between employers and employees in front of such a clause. </w:t>
      </w:r>
    </w:p>
    <w:p w14:paraId="4D0C166F" w14:textId="55B02BAF" w:rsidR="00707551" w:rsidRPr="00B87971" w:rsidRDefault="005F6958" w:rsidP="00AD2A36">
      <w:pPr>
        <w:adjustRightInd w:val="0"/>
        <w:snapToGrid w:val="0"/>
        <w:spacing w:after="120" w:line="276" w:lineRule="auto"/>
        <w:jc w:val="both"/>
        <w:rPr>
          <w:rFonts w:ascii="Times New Roman" w:hAnsi="Times New Roman" w:cs="Times New Roman"/>
          <w:sz w:val="24"/>
          <w:szCs w:val="24"/>
          <w:lang w:val="vi-VN"/>
        </w:rPr>
      </w:pPr>
      <w:r w:rsidRPr="00B87971">
        <w:rPr>
          <w:rFonts w:ascii="Times New Roman" w:hAnsi="Times New Roman" w:cs="Times New Roman"/>
          <w:b/>
          <w:sz w:val="24"/>
          <w:szCs w:val="24"/>
          <w:lang w:val="vi-VN"/>
        </w:rPr>
        <w:t>Keywords:</w:t>
      </w:r>
      <w:r w:rsidRPr="00B87971">
        <w:rPr>
          <w:rFonts w:ascii="Times New Roman" w:hAnsi="Times New Roman" w:cs="Times New Roman"/>
          <w:sz w:val="24"/>
          <w:szCs w:val="24"/>
          <w:lang w:val="vi-VN"/>
        </w:rPr>
        <w:t xml:space="preserve"> </w:t>
      </w:r>
      <w:r w:rsidRPr="00B87971">
        <w:rPr>
          <w:rFonts w:ascii="Times New Roman" w:hAnsi="Times New Roman" w:cs="Times New Roman"/>
          <w:i/>
          <w:iCs/>
          <w:sz w:val="24"/>
          <w:szCs w:val="24"/>
          <w:lang w:val="vi-VN"/>
        </w:rPr>
        <w:t xml:space="preserve">employment contracts, non-disclose agreements, </w:t>
      </w:r>
      <w:r w:rsidR="00720047" w:rsidRPr="00B87971">
        <w:rPr>
          <w:rFonts w:ascii="Times New Roman" w:hAnsi="Times New Roman" w:cs="Times New Roman"/>
          <w:i/>
          <w:iCs/>
          <w:sz w:val="24"/>
          <w:szCs w:val="24"/>
          <w:lang w:val="vi-VN"/>
        </w:rPr>
        <w:t xml:space="preserve">restraint of business, </w:t>
      </w:r>
      <w:r w:rsidRPr="00B87971">
        <w:rPr>
          <w:rFonts w:ascii="Times New Roman" w:hAnsi="Times New Roman" w:cs="Times New Roman"/>
          <w:i/>
          <w:iCs/>
          <w:sz w:val="24"/>
          <w:szCs w:val="24"/>
          <w:lang w:val="vi-VN"/>
        </w:rPr>
        <w:t xml:space="preserve">non-compete </w:t>
      </w:r>
      <w:r w:rsidR="00720047" w:rsidRPr="00B87971">
        <w:rPr>
          <w:rFonts w:ascii="Times New Roman" w:hAnsi="Times New Roman" w:cs="Times New Roman"/>
          <w:i/>
          <w:iCs/>
          <w:sz w:val="24"/>
          <w:szCs w:val="24"/>
          <w:lang w:val="vi-VN"/>
        </w:rPr>
        <w:t>agreements.</w:t>
      </w:r>
      <w:r w:rsidR="00720047" w:rsidRPr="00B87971">
        <w:rPr>
          <w:rFonts w:ascii="Times New Roman" w:hAnsi="Times New Roman" w:cs="Times New Roman"/>
          <w:sz w:val="24"/>
          <w:szCs w:val="24"/>
          <w:lang w:val="vi-VN"/>
        </w:rPr>
        <w:t xml:space="preserve"> </w:t>
      </w:r>
      <w:r w:rsidRPr="00B87971">
        <w:rPr>
          <w:rFonts w:ascii="Times New Roman" w:hAnsi="Times New Roman" w:cs="Times New Roman"/>
          <w:sz w:val="24"/>
          <w:szCs w:val="24"/>
          <w:lang w:val="vi-VN"/>
        </w:rPr>
        <w:t xml:space="preserve"> </w:t>
      </w:r>
    </w:p>
    <w:bookmarkEnd w:id="4"/>
    <w:p w14:paraId="259BF5AD" w14:textId="77777777" w:rsidR="00AD2A36" w:rsidRPr="00B87971" w:rsidRDefault="00AD2A36" w:rsidP="00AD2A36">
      <w:pPr>
        <w:pBdr>
          <w:top w:val="nil"/>
          <w:left w:val="nil"/>
          <w:bottom w:val="single" w:sz="4" w:space="1" w:color="000000"/>
          <w:right w:val="nil"/>
          <w:between w:val="nil"/>
        </w:pBdr>
        <w:spacing w:line="240" w:lineRule="auto"/>
        <w:jc w:val="center"/>
        <w:rPr>
          <w:i/>
          <w:color w:val="000000"/>
        </w:rPr>
      </w:pPr>
    </w:p>
    <w:p w14:paraId="5FDA4F07" w14:textId="5D5F9EDD" w:rsidR="009A0DDA" w:rsidRPr="00B87971" w:rsidRDefault="009A0DDA" w:rsidP="00CA531A">
      <w:pPr>
        <w:adjustRightInd w:val="0"/>
        <w:snapToGrid w:val="0"/>
        <w:spacing w:after="120" w:line="240" w:lineRule="auto"/>
        <w:ind w:firstLine="72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Trong những năm gần đây, </w:t>
      </w:r>
      <w:proofErr w:type="spellStart"/>
      <w:r w:rsidR="00893F3D" w:rsidRPr="00B87971">
        <w:rPr>
          <w:rFonts w:ascii="Times New Roman" w:hAnsi="Times New Roman" w:cs="Times New Roman"/>
          <w:sz w:val="26"/>
          <w:szCs w:val="26"/>
        </w:rPr>
        <w:t>nội</w:t>
      </w:r>
      <w:proofErr w:type="spellEnd"/>
      <w:r w:rsidR="00893F3D" w:rsidRPr="00B87971">
        <w:rPr>
          <w:rFonts w:ascii="Times New Roman" w:hAnsi="Times New Roman" w:cs="Times New Roman"/>
          <w:sz w:val="26"/>
          <w:szCs w:val="26"/>
        </w:rPr>
        <w:t xml:space="preserve"> dung</w:t>
      </w:r>
      <w:r w:rsidRPr="00B87971">
        <w:rPr>
          <w:rFonts w:ascii="Times New Roman" w:hAnsi="Times New Roman" w:cs="Times New Roman"/>
          <w:sz w:val="26"/>
          <w:szCs w:val="26"/>
          <w:lang w:val="vi-VN"/>
        </w:rPr>
        <w:t xml:space="preserve"> bản hợp đồng lao động </w:t>
      </w:r>
      <w:r w:rsidR="00893F3D" w:rsidRPr="00B87971">
        <w:rPr>
          <w:rFonts w:ascii="Times New Roman" w:hAnsi="Times New Roman" w:cs="Times New Roman"/>
          <w:sz w:val="26"/>
          <w:szCs w:val="26"/>
        </w:rPr>
        <w:t xml:space="preserve">(HĐLĐ) </w:t>
      </w:r>
      <w:r w:rsidRPr="00B87971">
        <w:rPr>
          <w:rFonts w:ascii="Times New Roman" w:hAnsi="Times New Roman" w:cs="Times New Roman"/>
          <w:sz w:val="26"/>
          <w:szCs w:val="26"/>
          <w:lang w:val="vi-VN"/>
        </w:rPr>
        <w:t>mà các công ty ở Việt</w:t>
      </w:r>
      <w:r w:rsidR="00893F3D" w:rsidRPr="00B87971">
        <w:rPr>
          <w:rFonts w:ascii="Times New Roman" w:hAnsi="Times New Roman" w:cs="Times New Roman"/>
          <w:sz w:val="26"/>
          <w:szCs w:val="26"/>
        </w:rPr>
        <w:t xml:space="preserve"> Nam</w:t>
      </w:r>
      <w:r w:rsidRPr="00B87971">
        <w:rPr>
          <w:rFonts w:ascii="Times New Roman" w:hAnsi="Times New Roman" w:cs="Times New Roman"/>
          <w:sz w:val="26"/>
          <w:szCs w:val="26"/>
          <w:lang w:val="vi-VN"/>
        </w:rPr>
        <w:t xml:space="preserve"> k</w:t>
      </w:r>
      <w:r w:rsidR="00893F3D" w:rsidRPr="00B87971">
        <w:rPr>
          <w:rFonts w:ascii="Times New Roman" w:hAnsi="Times New Roman" w:cs="Times New Roman"/>
          <w:sz w:val="26"/>
          <w:szCs w:val="26"/>
        </w:rPr>
        <w:t xml:space="preserve">ý </w:t>
      </w:r>
      <w:proofErr w:type="spellStart"/>
      <w:r w:rsidR="00893F3D" w:rsidRPr="00B87971">
        <w:rPr>
          <w:rFonts w:ascii="Times New Roman" w:hAnsi="Times New Roman" w:cs="Times New Roman"/>
          <w:sz w:val="26"/>
          <w:szCs w:val="26"/>
        </w:rPr>
        <w:t>kết</w:t>
      </w:r>
      <w:proofErr w:type="spellEnd"/>
      <w:r w:rsidRPr="00B87971">
        <w:rPr>
          <w:rFonts w:ascii="Times New Roman" w:hAnsi="Times New Roman" w:cs="Times New Roman"/>
          <w:sz w:val="26"/>
          <w:szCs w:val="26"/>
          <w:lang w:val="vi-VN"/>
        </w:rPr>
        <w:t xml:space="preserve"> với người lao động thường </w:t>
      </w:r>
      <w:proofErr w:type="spellStart"/>
      <w:r w:rsidR="00893F3D" w:rsidRPr="00B87971">
        <w:rPr>
          <w:rFonts w:ascii="Times New Roman" w:hAnsi="Times New Roman" w:cs="Times New Roman"/>
          <w:sz w:val="26"/>
          <w:szCs w:val="26"/>
        </w:rPr>
        <w:t>kèm</w:t>
      </w:r>
      <w:proofErr w:type="spellEnd"/>
      <w:r w:rsidR="00893F3D" w:rsidRPr="00B87971">
        <w:rPr>
          <w:rFonts w:ascii="Times New Roman" w:hAnsi="Times New Roman" w:cs="Times New Roman"/>
          <w:sz w:val="26"/>
          <w:szCs w:val="26"/>
        </w:rPr>
        <w:t xml:space="preserve"> </w:t>
      </w:r>
      <w:proofErr w:type="spellStart"/>
      <w:r w:rsidR="00893F3D" w:rsidRPr="00B87971">
        <w:rPr>
          <w:rFonts w:ascii="Times New Roman" w:hAnsi="Times New Roman" w:cs="Times New Roman"/>
          <w:sz w:val="26"/>
          <w:szCs w:val="26"/>
        </w:rPr>
        <w:t>theo</w:t>
      </w:r>
      <w:proofErr w:type="spellEnd"/>
      <w:r w:rsidRPr="00B87971">
        <w:rPr>
          <w:rFonts w:ascii="Times New Roman" w:hAnsi="Times New Roman" w:cs="Times New Roman"/>
          <w:sz w:val="26"/>
          <w:szCs w:val="26"/>
          <w:lang w:val="vi-VN"/>
        </w:rPr>
        <w:t xml:space="preserve"> quy định giới hạn quyền tiếp </w:t>
      </w:r>
      <w:r w:rsidRPr="00B87971">
        <w:rPr>
          <w:rFonts w:ascii="Times New Roman" w:hAnsi="Times New Roman" w:cs="Times New Roman"/>
          <w:sz w:val="26"/>
          <w:szCs w:val="26"/>
          <w:lang w:val="vi-VN"/>
        </w:rPr>
        <w:lastRenderedPageBreak/>
        <w:t>tục làm việc ở các công ty khác sau khi</w:t>
      </w:r>
      <w:r w:rsidR="008A097F" w:rsidRPr="00B87971">
        <w:rPr>
          <w:rFonts w:ascii="Times New Roman" w:hAnsi="Times New Roman" w:cs="Times New Roman"/>
          <w:sz w:val="26"/>
          <w:szCs w:val="26"/>
        </w:rPr>
        <w:t xml:space="preserve"> </w:t>
      </w:r>
      <w:proofErr w:type="spellStart"/>
      <w:r w:rsidR="008A097F" w:rsidRPr="00B87971">
        <w:rPr>
          <w:rFonts w:ascii="Times New Roman" w:hAnsi="Times New Roman" w:cs="Times New Roman"/>
          <w:sz w:val="26"/>
          <w:szCs w:val="26"/>
        </w:rPr>
        <w:t>nghỉ</w:t>
      </w:r>
      <w:proofErr w:type="spellEnd"/>
      <w:r w:rsidR="008A097F" w:rsidRPr="00B87971">
        <w:rPr>
          <w:rFonts w:ascii="Times New Roman" w:hAnsi="Times New Roman" w:cs="Times New Roman"/>
          <w:sz w:val="26"/>
          <w:szCs w:val="26"/>
        </w:rPr>
        <w:t xml:space="preserve"> v</w:t>
      </w:r>
      <w:r w:rsidRPr="00B87971">
        <w:rPr>
          <w:rFonts w:ascii="Times New Roman" w:hAnsi="Times New Roman" w:cs="Times New Roman"/>
          <w:sz w:val="26"/>
          <w:szCs w:val="26"/>
          <w:lang w:val="vi-VN"/>
        </w:rPr>
        <w:t xml:space="preserve">iệc tại công ty cũng. Trước thực tiễn này, Bộ luật lao động cũng đã bổ sung quy định có liên quan. Nhưng phạm vi điều chỉnh cũng chỉ dừng lại ở những ràng buộc về nghĩa vụ bảo mật thông tin. Vì vậy, các quy định đó vẫn chưa tạo ra được cơ sở pháp lý vững chắc giải quyết một vài tranh chấp đã xảy ra trên thực tế. </w:t>
      </w:r>
    </w:p>
    <w:p w14:paraId="57CE4C36" w14:textId="306C537C" w:rsidR="009A0DDA" w:rsidRPr="00B87971" w:rsidRDefault="009A0DDA" w:rsidP="00CA531A">
      <w:pPr>
        <w:adjustRightInd w:val="0"/>
        <w:snapToGrid w:val="0"/>
        <w:spacing w:after="120" w:line="240" w:lineRule="auto"/>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ab/>
        <w:t xml:space="preserve">Để có cái nhìn toàn diện hơn về </w:t>
      </w:r>
      <w:proofErr w:type="spellStart"/>
      <w:r w:rsidR="00893F3D" w:rsidRPr="00B87971">
        <w:rPr>
          <w:rFonts w:ascii="Times New Roman" w:hAnsi="Times New Roman" w:cs="Times New Roman"/>
          <w:sz w:val="26"/>
          <w:szCs w:val="26"/>
        </w:rPr>
        <w:t>điều</w:t>
      </w:r>
      <w:proofErr w:type="spellEnd"/>
      <w:r w:rsidRPr="00B87971">
        <w:rPr>
          <w:rFonts w:ascii="Times New Roman" w:hAnsi="Times New Roman" w:cs="Times New Roman"/>
          <w:sz w:val="26"/>
          <w:szCs w:val="26"/>
          <w:lang w:val="vi-VN"/>
        </w:rPr>
        <w:t xml:space="preserve"> khoản giới hạn quyền của người lao động trong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nói trên, bài viết này xin giới thiệu cách tiếp cận phổ biến của hầu hết các nước trên thế giới. Bài viết bắt đầu bằng cơ sở lý thuyết tổng quan về điều khoản </w:t>
      </w:r>
      <w:r w:rsidR="00893F3D" w:rsidRPr="00B87971">
        <w:rPr>
          <w:rFonts w:ascii="Times New Roman" w:hAnsi="Times New Roman" w:cs="Times New Roman"/>
          <w:sz w:val="26"/>
          <w:szCs w:val="26"/>
          <w:lang w:val="vi-VN"/>
        </w:rPr>
        <w:t xml:space="preserve">“giới hạn kinh doanh/thương mại” (restrant of business/trade) </w:t>
      </w:r>
      <w:r w:rsidRPr="00B87971">
        <w:rPr>
          <w:rFonts w:ascii="Times New Roman" w:hAnsi="Times New Roman" w:cs="Times New Roman"/>
          <w:sz w:val="26"/>
          <w:szCs w:val="26"/>
          <w:lang w:val="vi-VN"/>
        </w:rPr>
        <w:t xml:space="preserve">trong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Phần tiếp theo sẽ giới thiệu thực tiễn xử lý các vụ việc ở một vài hệ thống pháp luật điển hình. Bài viết sẽ kết thúc bằng những gợi mở bước đầu cho việc hoàn thiện các quy định có liên quan ở Việt Nam sau khi </w:t>
      </w:r>
      <w:r w:rsidR="00D72FB9" w:rsidRPr="00B87971">
        <w:rPr>
          <w:rFonts w:ascii="Times New Roman" w:hAnsi="Times New Roman" w:cs="Times New Roman"/>
          <w:sz w:val="26"/>
          <w:szCs w:val="26"/>
          <w:lang w:val="vi-VN"/>
        </w:rPr>
        <w:t xml:space="preserve">phân tích một vài vướng mắt từ giải quyết tranh chấp vụ việc thực tiễn vừa xảy ra. </w:t>
      </w:r>
    </w:p>
    <w:p w14:paraId="322D205E" w14:textId="171C73D6" w:rsidR="00D72FB9" w:rsidRPr="00B87971" w:rsidRDefault="00D72FB9" w:rsidP="00F33E92">
      <w:pPr>
        <w:pStyle w:val="ListParagraph"/>
        <w:numPr>
          <w:ilvl w:val="0"/>
          <w:numId w:val="3"/>
        </w:numPr>
        <w:adjustRightInd w:val="0"/>
        <w:snapToGrid w:val="0"/>
        <w:spacing w:after="120" w:line="240" w:lineRule="auto"/>
        <w:jc w:val="both"/>
        <w:rPr>
          <w:rFonts w:ascii="Times New Roman" w:hAnsi="Times New Roman" w:cs="Times New Roman"/>
          <w:b/>
          <w:sz w:val="26"/>
          <w:szCs w:val="26"/>
          <w:lang w:val="vi-VN"/>
        </w:rPr>
      </w:pPr>
      <w:r w:rsidRPr="00B87971">
        <w:rPr>
          <w:rFonts w:ascii="Times New Roman" w:hAnsi="Times New Roman" w:cs="Times New Roman"/>
          <w:b/>
          <w:sz w:val="26"/>
          <w:szCs w:val="26"/>
          <w:lang w:val="vi-VN"/>
        </w:rPr>
        <w:t>Tiếp cận chung về điều khoản giới hạn kinh doanh</w:t>
      </w:r>
    </w:p>
    <w:p w14:paraId="49ED8365" w14:textId="04B084DC" w:rsidR="00575505" w:rsidRPr="00B87971" w:rsidRDefault="00575505"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Tự do có giới hạn là luân lý trụ cột trong việc ghi nhận quyền tự do của cá nhân. Tự do hợp đồng dù được thừa nhận là nguyên tắc nền tảng, và vì vậy cần được tôn trọng, trong pháp luật hợp đồng thì cũng không vượt qua sự giới hạn chung về quyền tự do cá nhân như vừa nói. Chính vì vậy, pháp luật hợp đồng dù có cởi mở tới đâu cũng sẽ có lúc đặt ra những quy định cho các trường hợp mà nội dung tự do thoả thuận trong hợp đồng không được ghi nhận. Một trong những trường hợp đó chính là </w:t>
      </w:r>
      <w:proofErr w:type="spellStart"/>
      <w:r w:rsidR="00893F3D" w:rsidRPr="00B87971">
        <w:rPr>
          <w:rFonts w:ascii="Times New Roman" w:hAnsi="Times New Roman" w:cs="Times New Roman"/>
          <w:sz w:val="26"/>
          <w:szCs w:val="26"/>
        </w:rPr>
        <w:t>trường</w:t>
      </w:r>
      <w:proofErr w:type="spellEnd"/>
      <w:r w:rsidR="00893F3D" w:rsidRPr="00B87971">
        <w:rPr>
          <w:rFonts w:ascii="Times New Roman" w:hAnsi="Times New Roman" w:cs="Times New Roman"/>
          <w:sz w:val="26"/>
          <w:szCs w:val="26"/>
        </w:rPr>
        <w:t xml:space="preserve"> </w:t>
      </w:r>
      <w:proofErr w:type="spellStart"/>
      <w:r w:rsidR="00893F3D" w:rsidRPr="00B87971">
        <w:rPr>
          <w:rFonts w:ascii="Times New Roman" w:hAnsi="Times New Roman" w:cs="Times New Roman"/>
          <w:sz w:val="26"/>
          <w:szCs w:val="26"/>
        </w:rPr>
        <w:t>hợp</w:t>
      </w:r>
      <w:proofErr w:type="spellEnd"/>
      <w:r w:rsidR="00893F3D" w:rsidRPr="00B87971">
        <w:rPr>
          <w:rFonts w:ascii="Times New Roman" w:hAnsi="Times New Roman" w:cs="Times New Roman"/>
          <w:sz w:val="26"/>
          <w:szCs w:val="26"/>
        </w:rPr>
        <w:t xml:space="preserve"> </w:t>
      </w:r>
      <w:r w:rsidRPr="00B87971">
        <w:rPr>
          <w:rFonts w:ascii="Times New Roman" w:hAnsi="Times New Roman" w:cs="Times New Roman"/>
          <w:sz w:val="26"/>
          <w:szCs w:val="26"/>
          <w:lang w:val="vi-VN"/>
        </w:rPr>
        <w:t>hợp đồng có nội dung “giới hạn kinh doanh/thương mại”</w:t>
      </w:r>
      <w:r w:rsidR="00893F3D" w:rsidRPr="00B87971">
        <w:rPr>
          <w:rFonts w:ascii="Times New Roman" w:hAnsi="Times New Roman" w:cs="Times New Roman"/>
          <w:sz w:val="26"/>
          <w:szCs w:val="26"/>
        </w:rPr>
        <w:t xml:space="preserve">. </w:t>
      </w:r>
      <w:r w:rsidRPr="00B87971">
        <w:rPr>
          <w:rFonts w:ascii="Times New Roman" w:hAnsi="Times New Roman" w:cs="Times New Roman"/>
          <w:sz w:val="26"/>
          <w:szCs w:val="26"/>
          <w:lang w:val="vi-VN"/>
        </w:rPr>
        <w:t>Về cơ bản, nội dung đó của hợp đồng bị cho là “bất hợp pháp vì đã làm tổn hại đế sự vận hành của thị trường”</w:t>
      </w:r>
      <w:r w:rsidR="0004560C" w:rsidRPr="00B87971">
        <w:rPr>
          <w:rStyle w:val="FootnoteReference"/>
          <w:rFonts w:ascii="Times New Roman" w:hAnsi="Times New Roman" w:cs="Times New Roman"/>
          <w:sz w:val="26"/>
          <w:szCs w:val="26"/>
        </w:rPr>
        <w:footnoteReference w:id="1"/>
      </w:r>
      <w:r w:rsidRPr="00B87971">
        <w:rPr>
          <w:rFonts w:ascii="Times New Roman" w:hAnsi="Times New Roman" w:cs="Times New Roman"/>
          <w:sz w:val="26"/>
          <w:szCs w:val="26"/>
          <w:lang w:val="vi-VN"/>
        </w:rPr>
        <w:t xml:space="preserve">. </w:t>
      </w:r>
    </w:p>
    <w:p w14:paraId="1140DD57" w14:textId="73B3073A" w:rsidR="002C169B" w:rsidRPr="00B87971" w:rsidRDefault="0004560C"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Thông thường, điều khoản giới hạn kinh doanh trong hợp đồng thường xuất hiện trong ba trường hợp. Một, đó là các thoả thuận trái với luật cạnh tranh. Hai, các thoả thuận giữa người cung cấp và bên thu mua có chứa đựng những giới </w:t>
      </w:r>
      <w:r w:rsidR="00EB03C2" w:rsidRPr="00B87971">
        <w:rPr>
          <w:rFonts w:ascii="Times New Roman" w:hAnsi="Times New Roman" w:cs="Times New Roman"/>
          <w:sz w:val="26"/>
          <w:szCs w:val="26"/>
          <w:lang w:val="vi-VN"/>
        </w:rPr>
        <w:t xml:space="preserve">hạn </w:t>
      </w:r>
      <w:r w:rsidRPr="00B87971">
        <w:rPr>
          <w:rFonts w:ascii="Times New Roman" w:hAnsi="Times New Roman" w:cs="Times New Roman"/>
          <w:sz w:val="26"/>
          <w:szCs w:val="26"/>
          <w:lang w:val="vi-VN"/>
        </w:rPr>
        <w:t xml:space="preserve">quá mức hay không cần thiết quyền của </w:t>
      </w:r>
      <w:r w:rsidR="002C169B" w:rsidRPr="00B87971">
        <w:rPr>
          <w:rFonts w:ascii="Times New Roman" w:hAnsi="Times New Roman" w:cs="Times New Roman"/>
          <w:sz w:val="26"/>
          <w:szCs w:val="26"/>
          <w:lang w:val="vi-VN"/>
        </w:rPr>
        <w:t>bên cung cấp; cụ thể như bên cung cấp không được tiếp tục cung cấp hàng cho bên cạnh tranh với bên đã thu mua. Và ba, thoả thuận giữa người sử dụng lao động và người lao động có sự giới hạn quá mức hoặc không cần thiết đối với quyền của người lao động khi yêu cầu họ không được cạnh tranh với bên sử dụng lao động sau khi đã nghỉ việc</w:t>
      </w:r>
      <w:r w:rsidR="00C83BB1" w:rsidRPr="00B87971">
        <w:rPr>
          <w:rStyle w:val="FootnoteReference"/>
          <w:rFonts w:ascii="Times New Roman" w:hAnsi="Times New Roman" w:cs="Times New Roman"/>
          <w:sz w:val="26"/>
          <w:szCs w:val="26"/>
        </w:rPr>
        <w:footnoteReference w:id="2"/>
      </w:r>
      <w:r w:rsidR="002C169B" w:rsidRPr="00B87971">
        <w:rPr>
          <w:rFonts w:ascii="Times New Roman" w:hAnsi="Times New Roman" w:cs="Times New Roman"/>
          <w:sz w:val="26"/>
          <w:szCs w:val="26"/>
          <w:lang w:val="vi-VN"/>
        </w:rPr>
        <w:t xml:space="preserve">. </w:t>
      </w:r>
    </w:p>
    <w:p w14:paraId="2A1C93E9" w14:textId="60966D17" w:rsidR="00CB71D5" w:rsidRPr="00B87971" w:rsidRDefault="00403DCE"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Hay nói cách khác, điều khoản giới hạn quyền của người lao động trong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chỉ mà một trong số các dạng thức giới hạn kinh doanh trong hợp đồng. Và đặc biệt, nó không phải là điều khoản hạn chế cạ</w:t>
      </w:r>
      <w:r w:rsidR="008D5686" w:rsidRPr="00B87971">
        <w:rPr>
          <w:rFonts w:ascii="Times New Roman" w:hAnsi="Times New Roman" w:cs="Times New Roman"/>
          <w:sz w:val="26"/>
          <w:szCs w:val="26"/>
          <w:lang w:val="vi-VN"/>
        </w:rPr>
        <w:t>nh tranh thuộc</w:t>
      </w:r>
      <w:r w:rsidRPr="00B87971">
        <w:rPr>
          <w:rFonts w:ascii="Times New Roman" w:hAnsi="Times New Roman" w:cs="Times New Roman"/>
          <w:sz w:val="26"/>
          <w:szCs w:val="26"/>
          <w:lang w:val="vi-VN"/>
        </w:rPr>
        <w:t xml:space="preserve"> nhóm trường hợp thứ nhất vừa nói ở trên. Vì vậy, sẽ không logic và không phù hợp khi tiếp cận điều khoản giới hạn quyền của người lao động từ góc độ của luật cạnh tranh. Theo quy định của pháp luật cạnh tranh nói chung và Luật cạnh tranh Việt Nam nói riêng (kể cả luật hiện này và luật mới sửa đổ</w:t>
      </w:r>
      <w:r w:rsidR="00D64B5B" w:rsidRPr="00B87971">
        <w:rPr>
          <w:rFonts w:ascii="Times New Roman" w:hAnsi="Times New Roman" w:cs="Times New Roman"/>
          <w:sz w:val="26"/>
          <w:szCs w:val="26"/>
          <w:lang w:val="vi-VN"/>
        </w:rPr>
        <w:t xml:space="preserve">i), điều khoản giới hạn kinh doanh (cạnh tranh) theo sắc luật này là nội dung thoả thuận giữa </w:t>
      </w:r>
      <w:r w:rsidR="00D64B5B" w:rsidRPr="00B87971">
        <w:rPr>
          <w:rFonts w:ascii="Times New Roman" w:hAnsi="Times New Roman" w:cs="Times New Roman"/>
          <w:sz w:val="26"/>
          <w:szCs w:val="26"/>
          <w:lang w:val="vi-VN"/>
        </w:rPr>
        <w:lastRenderedPageBreak/>
        <w:t>các đối thủ</w:t>
      </w:r>
      <w:r w:rsidR="008D5686" w:rsidRPr="00B87971">
        <w:rPr>
          <w:rFonts w:ascii="Times New Roman" w:hAnsi="Times New Roman" w:cs="Times New Roman"/>
          <w:sz w:val="26"/>
          <w:szCs w:val="26"/>
          <w:lang w:val="vi-VN"/>
        </w:rPr>
        <w:t xml:space="preserve"> kinh doanh, và nội dung quy định đó khó có thể áp dụng cho mối quan hệ giữa người lao động và người sử dụng lao động trong điều khoản thuộc nhóm thứ ba đang bàn, trừ trường hợp luật cạnh tranh có quy định chuyên biệt dành riêng cho quan hệ </w:t>
      </w:r>
      <w:r w:rsidR="000304A7" w:rsidRPr="00B87971">
        <w:rPr>
          <w:rFonts w:ascii="Times New Roman" w:hAnsi="Times New Roman" w:cs="Times New Roman"/>
          <w:sz w:val="26"/>
          <w:szCs w:val="26"/>
          <w:lang w:val="vi-VN"/>
        </w:rPr>
        <w:t>HĐLĐ</w:t>
      </w:r>
      <w:r w:rsidR="008D5686" w:rsidRPr="00B87971">
        <w:rPr>
          <w:rFonts w:ascii="Times New Roman" w:hAnsi="Times New Roman" w:cs="Times New Roman"/>
          <w:sz w:val="26"/>
          <w:szCs w:val="26"/>
          <w:lang w:val="vi-VN"/>
        </w:rPr>
        <w:t>. Nhưng t</w:t>
      </w:r>
      <w:r w:rsidR="00D64B5B" w:rsidRPr="00B87971">
        <w:rPr>
          <w:rFonts w:ascii="Times New Roman" w:hAnsi="Times New Roman" w:cs="Times New Roman"/>
          <w:sz w:val="26"/>
          <w:szCs w:val="26"/>
          <w:lang w:val="vi-VN"/>
        </w:rPr>
        <w:t xml:space="preserve">hực ra, </w:t>
      </w:r>
      <w:r w:rsidR="008D5686" w:rsidRPr="00B87971">
        <w:rPr>
          <w:rFonts w:ascii="Times New Roman" w:hAnsi="Times New Roman" w:cs="Times New Roman"/>
          <w:sz w:val="26"/>
          <w:szCs w:val="26"/>
          <w:lang w:val="vi-VN"/>
        </w:rPr>
        <w:t xml:space="preserve">cũng cần lưu ý là </w:t>
      </w:r>
      <w:r w:rsidR="00D64B5B" w:rsidRPr="00B87971">
        <w:rPr>
          <w:rFonts w:ascii="Times New Roman" w:hAnsi="Times New Roman" w:cs="Times New Roman"/>
          <w:sz w:val="26"/>
          <w:szCs w:val="26"/>
          <w:lang w:val="vi-VN"/>
        </w:rPr>
        <w:t xml:space="preserve">trên thực tế luật cạnh tranh của một số nước cũng gộp và dành cả quy định cho nhóm hành vi thứ hai. </w:t>
      </w:r>
      <w:r w:rsidR="008D5686" w:rsidRPr="00B87971">
        <w:rPr>
          <w:rFonts w:ascii="Times New Roman" w:hAnsi="Times New Roman" w:cs="Times New Roman"/>
          <w:sz w:val="26"/>
          <w:szCs w:val="26"/>
          <w:lang w:val="vi-VN"/>
        </w:rPr>
        <w:t>Dù vậy,</w:t>
      </w:r>
      <w:r w:rsidR="00D64B5B" w:rsidRPr="00B87971">
        <w:rPr>
          <w:rFonts w:ascii="Times New Roman" w:hAnsi="Times New Roman" w:cs="Times New Roman"/>
          <w:sz w:val="26"/>
          <w:szCs w:val="26"/>
          <w:lang w:val="vi-VN"/>
        </w:rPr>
        <w:t xml:space="preserve"> việc tiếp cận điều khoản giới hạn quyền của người lao động trong </w:t>
      </w:r>
      <w:r w:rsidR="000304A7" w:rsidRPr="00B87971">
        <w:rPr>
          <w:rFonts w:ascii="Times New Roman" w:hAnsi="Times New Roman" w:cs="Times New Roman"/>
          <w:sz w:val="26"/>
          <w:szCs w:val="26"/>
          <w:lang w:val="vi-VN"/>
        </w:rPr>
        <w:t>HĐLĐ</w:t>
      </w:r>
      <w:r w:rsidR="00D64B5B" w:rsidRPr="00B87971">
        <w:rPr>
          <w:rFonts w:ascii="Times New Roman" w:hAnsi="Times New Roman" w:cs="Times New Roman"/>
          <w:sz w:val="26"/>
          <w:szCs w:val="26"/>
          <w:lang w:val="vi-VN"/>
        </w:rPr>
        <w:t xml:space="preserve"> bằng luật cạnh tranh là một trường hợp cá biệt, người viết chưa hề nhận thấy. </w:t>
      </w:r>
    </w:p>
    <w:p w14:paraId="2F050C46" w14:textId="384D252C" w:rsidR="00764516" w:rsidRPr="00B87971" w:rsidRDefault="00D64B5B"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Trở lại với điều khoản giới hạn kinh doanh trong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p</w:t>
      </w:r>
      <w:r w:rsidR="00D72FB9" w:rsidRPr="00B87971">
        <w:rPr>
          <w:rFonts w:ascii="Times New Roman" w:hAnsi="Times New Roman" w:cs="Times New Roman"/>
          <w:sz w:val="26"/>
          <w:szCs w:val="26"/>
          <w:lang w:val="vi-VN"/>
        </w:rPr>
        <w:t xml:space="preserve">háp luật các nước từ lâu đã đề cập đến vấn đề này, và đây cũng là điều khoản xuất hiện khá phổ biến trong </w:t>
      </w:r>
      <w:r w:rsidR="000304A7" w:rsidRPr="00B87971">
        <w:rPr>
          <w:rFonts w:ascii="Times New Roman" w:hAnsi="Times New Roman" w:cs="Times New Roman"/>
          <w:sz w:val="26"/>
          <w:szCs w:val="26"/>
          <w:lang w:val="vi-VN"/>
        </w:rPr>
        <w:t>HĐLĐ</w:t>
      </w:r>
      <w:r w:rsidR="00D72FB9" w:rsidRPr="00B87971">
        <w:rPr>
          <w:rFonts w:ascii="Times New Roman" w:hAnsi="Times New Roman" w:cs="Times New Roman"/>
          <w:sz w:val="26"/>
          <w:szCs w:val="26"/>
          <w:lang w:val="vi-VN"/>
        </w:rPr>
        <w:t xml:space="preserve"> ở các nước. </w:t>
      </w:r>
      <w:r w:rsidR="00764516" w:rsidRPr="00B87971">
        <w:rPr>
          <w:rFonts w:ascii="Times New Roman" w:hAnsi="Times New Roman" w:cs="Times New Roman"/>
          <w:sz w:val="26"/>
          <w:szCs w:val="26"/>
          <w:lang w:val="vi-VN"/>
        </w:rPr>
        <w:t>Nhiều nước</w:t>
      </w:r>
      <w:r w:rsidR="003A5D07" w:rsidRPr="00B87971">
        <w:rPr>
          <w:rFonts w:ascii="Times New Roman" w:hAnsi="Times New Roman" w:cs="Times New Roman"/>
          <w:sz w:val="26"/>
          <w:szCs w:val="26"/>
          <w:lang w:val="vi-VN"/>
        </w:rPr>
        <w:t xml:space="preserve"> thuộc hệ thống thông luật, thay vì ban hành luật ngay từ đầu, đã hình thành nên án lệ, </w:t>
      </w:r>
      <w:r w:rsidR="00764516" w:rsidRPr="00B87971">
        <w:rPr>
          <w:rFonts w:ascii="Times New Roman" w:hAnsi="Times New Roman" w:cs="Times New Roman"/>
          <w:sz w:val="26"/>
          <w:szCs w:val="26"/>
          <w:lang w:val="vi-VN"/>
        </w:rPr>
        <w:t xml:space="preserve">như </w:t>
      </w:r>
      <w:r w:rsidR="003A5D07" w:rsidRPr="00B87971">
        <w:rPr>
          <w:rFonts w:ascii="Times New Roman" w:hAnsi="Times New Roman" w:cs="Times New Roman"/>
          <w:sz w:val="26"/>
          <w:szCs w:val="26"/>
          <w:lang w:val="vi-VN"/>
        </w:rPr>
        <w:t xml:space="preserve">Anh (1913), </w:t>
      </w:r>
      <w:r w:rsidR="00581609" w:rsidRPr="00B87971">
        <w:rPr>
          <w:rFonts w:ascii="Times New Roman" w:hAnsi="Times New Roman" w:cs="Times New Roman"/>
          <w:sz w:val="26"/>
          <w:szCs w:val="26"/>
          <w:lang w:val="vi-VN"/>
        </w:rPr>
        <w:t>các bang ở Hoa Kỳ</w:t>
      </w:r>
      <w:r w:rsidR="003A5D07" w:rsidRPr="00B87971">
        <w:rPr>
          <w:rFonts w:ascii="Times New Roman" w:hAnsi="Times New Roman" w:cs="Times New Roman"/>
          <w:sz w:val="26"/>
          <w:szCs w:val="26"/>
          <w:lang w:val="vi-VN"/>
        </w:rPr>
        <w:t xml:space="preserve"> như</w:t>
      </w:r>
      <w:r w:rsidR="00581609" w:rsidRPr="00B87971">
        <w:rPr>
          <w:rFonts w:ascii="Times New Roman" w:hAnsi="Times New Roman" w:cs="Times New Roman"/>
          <w:sz w:val="26"/>
          <w:szCs w:val="26"/>
          <w:lang w:val="vi-VN"/>
        </w:rPr>
        <w:t xml:space="preserve"> Arizona (1283),</w:t>
      </w:r>
      <w:r w:rsidR="00764516" w:rsidRPr="00B87971">
        <w:rPr>
          <w:rFonts w:ascii="Times New Roman" w:hAnsi="Times New Roman" w:cs="Times New Roman"/>
          <w:sz w:val="26"/>
          <w:szCs w:val="26"/>
          <w:lang w:val="vi-VN"/>
        </w:rPr>
        <w:t xml:space="preserve"> Alaska (1</w:t>
      </w:r>
      <w:r w:rsidR="00581609" w:rsidRPr="00B87971">
        <w:rPr>
          <w:rFonts w:ascii="Times New Roman" w:hAnsi="Times New Roman" w:cs="Times New Roman"/>
          <w:sz w:val="26"/>
          <w:szCs w:val="26"/>
          <w:lang w:val="vi-VN"/>
        </w:rPr>
        <w:t>361), Massachusetts (1961)</w:t>
      </w:r>
      <w:r w:rsidR="003A5D07" w:rsidRPr="00B87971">
        <w:rPr>
          <w:rFonts w:ascii="Times New Roman" w:hAnsi="Times New Roman" w:cs="Times New Roman"/>
          <w:sz w:val="26"/>
          <w:szCs w:val="26"/>
          <w:lang w:val="vi-VN"/>
        </w:rPr>
        <w:t>… (bên cạnh các bang đã ba hành luật)</w:t>
      </w:r>
      <w:r w:rsidR="00B23CB4" w:rsidRPr="00B87971">
        <w:rPr>
          <w:rFonts w:ascii="Times New Roman" w:hAnsi="Times New Roman" w:cs="Times New Roman"/>
          <w:sz w:val="26"/>
          <w:szCs w:val="26"/>
          <w:lang w:val="vi-VN"/>
        </w:rPr>
        <w:t xml:space="preserve"> và Canada (1978). Các nước khác, cơ sở pháp lý có điều khoản này được đề cập chủ yếu trong luật lao động, như Pháp (và thỏa ước lao động tập thể) hay Trung Quốc (từ năm 1996 là dựa theo hướng dẫn của Bộ lao động và đến năm 2008 thì nôi dung này trở thành nội dung quy định trong Luật hợp đồng lao đồng)</w:t>
      </w:r>
      <w:r w:rsidR="00C83BB1" w:rsidRPr="00B87971">
        <w:rPr>
          <w:rStyle w:val="FootnoteReference"/>
          <w:rFonts w:ascii="Times New Roman" w:hAnsi="Times New Roman" w:cs="Times New Roman"/>
          <w:sz w:val="26"/>
          <w:szCs w:val="26"/>
        </w:rPr>
        <w:footnoteReference w:id="3"/>
      </w:r>
      <w:r w:rsidR="00B23CB4" w:rsidRPr="00B87971">
        <w:rPr>
          <w:rFonts w:ascii="Times New Roman" w:hAnsi="Times New Roman" w:cs="Times New Roman"/>
          <w:sz w:val="26"/>
          <w:szCs w:val="26"/>
          <w:lang w:val="vi-VN"/>
        </w:rPr>
        <w:t>. Một số nước tiếp tục giải quyết vấn đề bằng các quy định trong Bộ luật dân sự, Luật công ty hay các văn bả</w:t>
      </w:r>
      <w:r w:rsidR="00FF0CAE" w:rsidRPr="00B87971">
        <w:rPr>
          <w:rFonts w:ascii="Times New Roman" w:hAnsi="Times New Roman" w:cs="Times New Roman"/>
          <w:sz w:val="26"/>
          <w:szCs w:val="26"/>
          <w:lang w:val="vi-VN"/>
        </w:rPr>
        <w:t>n khác.</w:t>
      </w:r>
      <w:r w:rsidR="00AA1BA4" w:rsidRPr="00B87971">
        <w:rPr>
          <w:rFonts w:ascii="Times New Roman" w:hAnsi="Times New Roman" w:cs="Times New Roman"/>
          <w:sz w:val="26"/>
          <w:szCs w:val="26"/>
          <w:lang w:val="vi-VN"/>
        </w:rPr>
        <w:t xml:space="preserve"> Mà một số khác, rất ít, không chấp nhận sự ràng buộc của điều khoản, như California </w:t>
      </w:r>
      <w:r w:rsidR="00CB71D5" w:rsidRPr="00B87971">
        <w:rPr>
          <w:rFonts w:ascii="Times New Roman" w:hAnsi="Times New Roman" w:cs="Times New Roman"/>
          <w:color w:val="333333"/>
          <w:sz w:val="26"/>
          <w:szCs w:val="26"/>
          <w:shd w:val="clear" w:color="auto" w:fill="FFFFFF"/>
          <w:lang w:val="vi-VN"/>
        </w:rPr>
        <w:t>Oklahoma và North Dakota</w:t>
      </w:r>
      <w:r w:rsidR="00CB71D5" w:rsidRPr="00B87971">
        <w:rPr>
          <w:rFonts w:ascii="Times New Roman" w:hAnsi="Times New Roman" w:cs="Times New Roman"/>
          <w:sz w:val="26"/>
          <w:szCs w:val="26"/>
          <w:lang w:val="vi-VN"/>
        </w:rPr>
        <w:t xml:space="preserve"> </w:t>
      </w:r>
      <w:r w:rsidR="00AA1BA4" w:rsidRPr="00B87971">
        <w:rPr>
          <w:rFonts w:ascii="Times New Roman" w:hAnsi="Times New Roman" w:cs="Times New Roman"/>
          <w:sz w:val="26"/>
          <w:szCs w:val="26"/>
          <w:lang w:val="vi-VN"/>
        </w:rPr>
        <w:t>(US)</w:t>
      </w:r>
      <w:r w:rsidR="00CB71D5" w:rsidRPr="00B87971">
        <w:rPr>
          <w:rStyle w:val="FootnoteReference"/>
          <w:rFonts w:ascii="Times New Roman" w:hAnsi="Times New Roman" w:cs="Times New Roman"/>
          <w:sz w:val="26"/>
          <w:szCs w:val="26"/>
        </w:rPr>
        <w:footnoteReference w:id="4"/>
      </w:r>
      <w:r w:rsidR="00AA1BA4" w:rsidRPr="00B87971">
        <w:rPr>
          <w:rFonts w:ascii="Times New Roman" w:hAnsi="Times New Roman" w:cs="Times New Roman"/>
          <w:sz w:val="26"/>
          <w:szCs w:val="26"/>
          <w:lang w:val="vi-VN"/>
        </w:rPr>
        <w:t xml:space="preserve">. </w:t>
      </w:r>
    </w:p>
    <w:p w14:paraId="7290FCB7" w14:textId="0A521C3E" w:rsidR="0069114C" w:rsidRPr="00B87971" w:rsidRDefault="00D72FB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Có thể, sẽ có nhiều tên gọi khác nhau về điều khoản, tùy từng tình huống, nội dung và mục đích yêu cầu của hợp đồng</w:t>
      </w:r>
      <w:r w:rsidR="0069114C" w:rsidRPr="00B87971">
        <w:rPr>
          <w:rFonts w:ascii="Times New Roman" w:hAnsi="Times New Roman" w:cs="Times New Roman"/>
          <w:sz w:val="26"/>
          <w:szCs w:val="26"/>
          <w:lang w:val="vi-VN"/>
        </w:rPr>
        <w:t>. Trên thực tế, tên gọi được sử dụng phổ biến nhất hoặc là</w:t>
      </w:r>
      <w:r w:rsidRPr="00B87971">
        <w:rPr>
          <w:rFonts w:ascii="Times New Roman" w:hAnsi="Times New Roman" w:cs="Times New Roman"/>
          <w:sz w:val="26"/>
          <w:szCs w:val="26"/>
          <w:lang w:val="vi-VN"/>
        </w:rPr>
        <w:t xml:space="preserve"> điều khoản giới hạn kinh doanh (hay thương mại)</w:t>
      </w:r>
      <w:r w:rsidR="0069114C" w:rsidRPr="00B87971">
        <w:rPr>
          <w:rFonts w:ascii="Times New Roman" w:hAnsi="Times New Roman" w:cs="Times New Roman"/>
          <w:sz w:val="26"/>
          <w:szCs w:val="26"/>
          <w:lang w:val="vi-VN"/>
        </w:rPr>
        <w:t xml:space="preserve"> hoặc </w:t>
      </w:r>
      <w:r w:rsidRPr="00B87971">
        <w:rPr>
          <w:rFonts w:ascii="Times New Roman" w:hAnsi="Times New Roman" w:cs="Times New Roman"/>
          <w:sz w:val="26"/>
          <w:szCs w:val="26"/>
          <w:lang w:val="vi-VN"/>
        </w:rPr>
        <w:t>điều khoản không cạnh tranh</w:t>
      </w:r>
      <w:r w:rsidR="0069114C" w:rsidRPr="00B87971">
        <w:rPr>
          <w:rFonts w:ascii="Times New Roman" w:hAnsi="Times New Roman" w:cs="Times New Roman"/>
          <w:sz w:val="26"/>
          <w:szCs w:val="26"/>
          <w:lang w:val="vi-VN"/>
        </w:rPr>
        <w:t xml:space="preserve"> (not compete/non-competition). Chính vì tên gọi điều khoản </w:t>
      </w:r>
      <w:r w:rsidR="0085515A" w:rsidRPr="00B87971">
        <w:rPr>
          <w:rFonts w:ascii="Times New Roman" w:hAnsi="Times New Roman" w:cs="Times New Roman"/>
          <w:sz w:val="26"/>
          <w:szCs w:val="26"/>
          <w:lang w:val="vi-VN"/>
        </w:rPr>
        <w:t>“</w:t>
      </w:r>
      <w:r w:rsidR="0069114C" w:rsidRPr="00B87971">
        <w:rPr>
          <w:rFonts w:ascii="Times New Roman" w:hAnsi="Times New Roman" w:cs="Times New Roman"/>
          <w:sz w:val="26"/>
          <w:szCs w:val="26"/>
          <w:lang w:val="vi-VN"/>
        </w:rPr>
        <w:t>thoản thuậ</w:t>
      </w:r>
      <w:r w:rsidR="0085515A" w:rsidRPr="00B87971">
        <w:rPr>
          <w:rFonts w:ascii="Times New Roman" w:hAnsi="Times New Roman" w:cs="Times New Roman"/>
          <w:sz w:val="26"/>
          <w:szCs w:val="26"/>
          <w:lang w:val="vi-VN"/>
        </w:rPr>
        <w:t xml:space="preserve">n </w:t>
      </w:r>
      <w:r w:rsidR="0069114C" w:rsidRPr="00B87971">
        <w:rPr>
          <w:rFonts w:ascii="Times New Roman" w:hAnsi="Times New Roman" w:cs="Times New Roman"/>
          <w:sz w:val="26"/>
          <w:szCs w:val="26"/>
          <w:lang w:val="vi-VN"/>
        </w:rPr>
        <w:t xml:space="preserve">không cạnh tranh” mà nhiều nghiên cứu đã phân tích bản chất của điều khoản này dưới góc độ của luật cạnh tranh. Đương nhiên, cách tiếp cận như vậy chưa đúng logic để nhìn ra bản chất của vấn đề như vừa đề cập ở trên. </w:t>
      </w:r>
    </w:p>
    <w:p w14:paraId="23B72E1B" w14:textId="6BC008A2" w:rsidR="00D72FB9" w:rsidRPr="00B87971" w:rsidRDefault="0069114C"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V</w:t>
      </w:r>
      <w:r w:rsidR="00D72FB9" w:rsidRPr="00B87971">
        <w:rPr>
          <w:rFonts w:ascii="Times New Roman" w:hAnsi="Times New Roman" w:cs="Times New Roman"/>
          <w:sz w:val="26"/>
          <w:szCs w:val="26"/>
          <w:lang w:val="vi-VN"/>
        </w:rPr>
        <w:t>ề hình thức</w:t>
      </w:r>
      <w:r w:rsidRPr="00B87971">
        <w:rPr>
          <w:rFonts w:ascii="Times New Roman" w:hAnsi="Times New Roman" w:cs="Times New Roman"/>
          <w:sz w:val="26"/>
          <w:szCs w:val="26"/>
          <w:lang w:val="vi-VN"/>
        </w:rPr>
        <w:t>, đương nhiên</w:t>
      </w:r>
      <w:r w:rsidR="00D72FB9" w:rsidRPr="00B87971">
        <w:rPr>
          <w:rFonts w:ascii="Times New Roman" w:hAnsi="Times New Roman" w:cs="Times New Roman"/>
          <w:sz w:val="26"/>
          <w:szCs w:val="26"/>
          <w:lang w:val="vi-VN"/>
        </w:rPr>
        <w:t xml:space="preserve"> điều khoản này có thể được ghi trực tiếp vào </w:t>
      </w:r>
      <w:r w:rsidR="000304A7" w:rsidRPr="00B87971">
        <w:rPr>
          <w:rFonts w:ascii="Times New Roman" w:hAnsi="Times New Roman" w:cs="Times New Roman"/>
          <w:sz w:val="26"/>
          <w:szCs w:val="26"/>
          <w:lang w:val="vi-VN"/>
        </w:rPr>
        <w:t>HĐLĐ</w:t>
      </w:r>
      <w:r w:rsidR="00D72FB9" w:rsidRPr="00B87971">
        <w:rPr>
          <w:rFonts w:ascii="Times New Roman" w:hAnsi="Times New Roman" w:cs="Times New Roman"/>
          <w:sz w:val="26"/>
          <w:szCs w:val="26"/>
          <w:lang w:val="vi-VN"/>
        </w:rPr>
        <w:t xml:space="preserve"> hay là một thỏa thuận riêng</w:t>
      </w:r>
      <w:r w:rsidRPr="00B87971">
        <w:rPr>
          <w:rFonts w:ascii="Times New Roman" w:hAnsi="Times New Roman" w:cs="Times New Roman"/>
          <w:sz w:val="26"/>
          <w:szCs w:val="26"/>
          <w:lang w:val="vi-VN"/>
        </w:rPr>
        <w:t xml:space="preserve">. Nhưng dù thể hiện như thế nào thì nội dung thỏa thuận vẫn được xem là </w:t>
      </w:r>
      <w:r w:rsidR="00D72FB9" w:rsidRPr="00B87971">
        <w:rPr>
          <w:rFonts w:ascii="Times New Roman" w:hAnsi="Times New Roman" w:cs="Times New Roman"/>
          <w:sz w:val="26"/>
          <w:szCs w:val="26"/>
          <w:lang w:val="vi-VN"/>
        </w:rPr>
        <w:t xml:space="preserve">một phần không thể tách rời của </w:t>
      </w:r>
      <w:r w:rsidR="000304A7" w:rsidRPr="00B87971">
        <w:rPr>
          <w:rFonts w:ascii="Times New Roman" w:hAnsi="Times New Roman" w:cs="Times New Roman"/>
          <w:sz w:val="26"/>
          <w:szCs w:val="26"/>
          <w:lang w:val="vi-VN"/>
        </w:rPr>
        <w:t>HĐLĐ</w:t>
      </w:r>
      <w:r w:rsidR="00D72FB9" w:rsidRPr="00B87971">
        <w:rPr>
          <w:rFonts w:ascii="Times New Roman" w:hAnsi="Times New Roman" w:cs="Times New Roman"/>
          <w:sz w:val="26"/>
          <w:szCs w:val="26"/>
          <w:lang w:val="vi-VN"/>
        </w:rPr>
        <w:t xml:space="preserve">. </w:t>
      </w:r>
      <w:r w:rsidRPr="00B87971">
        <w:rPr>
          <w:rFonts w:ascii="Times New Roman" w:hAnsi="Times New Roman" w:cs="Times New Roman"/>
          <w:sz w:val="26"/>
          <w:szCs w:val="26"/>
          <w:lang w:val="vi-VN"/>
        </w:rPr>
        <w:t xml:space="preserve">Và hơn hết, </w:t>
      </w:r>
      <w:r w:rsidR="00D72FB9" w:rsidRPr="00B87971">
        <w:rPr>
          <w:rFonts w:ascii="Times New Roman" w:hAnsi="Times New Roman" w:cs="Times New Roman"/>
          <w:sz w:val="26"/>
          <w:szCs w:val="26"/>
          <w:lang w:val="vi-VN"/>
        </w:rPr>
        <w:t xml:space="preserve">nội dung chính của điều khoản thông thường đều là bên sử dụng lao động yêu cầu người lao động (bên ký </w:t>
      </w:r>
      <w:r w:rsidR="000304A7" w:rsidRPr="00B87971">
        <w:rPr>
          <w:rFonts w:ascii="Times New Roman" w:hAnsi="Times New Roman" w:cs="Times New Roman"/>
          <w:sz w:val="26"/>
          <w:szCs w:val="26"/>
          <w:lang w:val="vi-VN"/>
        </w:rPr>
        <w:t>HĐLĐ</w:t>
      </w:r>
      <w:r w:rsidR="00D72FB9" w:rsidRPr="00B87971">
        <w:rPr>
          <w:rFonts w:ascii="Times New Roman" w:hAnsi="Times New Roman" w:cs="Times New Roman"/>
          <w:sz w:val="26"/>
          <w:szCs w:val="26"/>
          <w:lang w:val="vi-VN"/>
        </w:rPr>
        <w:t xml:space="preserve">) không được thực hiện một hay một vài hành vi trong hoặc sau khi kết thúc thời gian thực hiện </w:t>
      </w:r>
      <w:r w:rsidR="000304A7" w:rsidRPr="00B87971">
        <w:rPr>
          <w:rFonts w:ascii="Times New Roman" w:hAnsi="Times New Roman" w:cs="Times New Roman"/>
          <w:sz w:val="26"/>
          <w:szCs w:val="26"/>
          <w:lang w:val="vi-VN"/>
        </w:rPr>
        <w:t>HĐLĐ</w:t>
      </w:r>
      <w:r w:rsidR="00D72FB9" w:rsidRPr="00B87971">
        <w:rPr>
          <w:rFonts w:ascii="Times New Roman" w:hAnsi="Times New Roman" w:cs="Times New Roman"/>
          <w:sz w:val="26"/>
          <w:szCs w:val="26"/>
          <w:lang w:val="vi-VN"/>
        </w:rPr>
        <w:t xml:space="preserve"> đó. </w:t>
      </w:r>
      <w:r w:rsidRPr="00B87971">
        <w:rPr>
          <w:rFonts w:ascii="Times New Roman" w:hAnsi="Times New Roman" w:cs="Times New Roman"/>
          <w:sz w:val="26"/>
          <w:szCs w:val="26"/>
          <w:lang w:val="vi-VN"/>
        </w:rPr>
        <w:t>Đơn cử, nội dung điều khoản có thể yêu cầu người lao động sau khi nghỉ việc không được vào làm việc cho một công ty đối thủ (hoạt động cùng lĩnh vực), hoặc người lao động có thể làm công việc mới nhưng không phải đảm nhận vị trí tương ứng ở công ty cũ. Thậm chí, điều khoản giới hạn này cũng có thể yêu cầu người lao động sau khi kế</w:t>
      </w:r>
      <w:r w:rsidR="00943801" w:rsidRPr="00B87971">
        <w:rPr>
          <w:rFonts w:ascii="Times New Roman" w:hAnsi="Times New Roman" w:cs="Times New Roman"/>
          <w:sz w:val="26"/>
          <w:szCs w:val="26"/>
          <w:lang w:val="vi-VN"/>
        </w:rPr>
        <w:t xml:space="preserve">t thúc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không được tự mình tiến hành hoạt động kinh doanh tương tự để cạnh tranh lại với doanh nghiệp mà họ vừa ngừng việc.  </w:t>
      </w:r>
    </w:p>
    <w:p w14:paraId="531A6910" w14:textId="6DEB2959" w:rsidR="00AA19C4" w:rsidRPr="00B87971" w:rsidRDefault="00D72FB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lastRenderedPageBreak/>
        <w:t>Lý do cho việc áp dụng điều khoản này rất đa dạng, và cũng có thể được đề cập hay không được đề cập trong hợp đồng. Thực tế tranh chấp cho thấy,</w:t>
      </w:r>
      <w:r w:rsidR="008A097F" w:rsidRPr="00B87971">
        <w:rPr>
          <w:rFonts w:ascii="Times New Roman" w:hAnsi="Times New Roman" w:cs="Times New Roman"/>
          <w:sz w:val="26"/>
          <w:szCs w:val="26"/>
        </w:rPr>
        <w:t xml:space="preserve"> </w:t>
      </w:r>
      <w:proofErr w:type="spellStart"/>
      <w:r w:rsidR="008A097F" w:rsidRPr="00B87971">
        <w:rPr>
          <w:rFonts w:ascii="Times New Roman" w:hAnsi="Times New Roman" w:cs="Times New Roman"/>
          <w:sz w:val="26"/>
          <w:szCs w:val="26"/>
        </w:rPr>
        <w:t>thỏa</w:t>
      </w:r>
      <w:proofErr w:type="spellEnd"/>
      <w:r w:rsidR="008A097F" w:rsidRPr="00B87971">
        <w:rPr>
          <w:rFonts w:ascii="Times New Roman" w:hAnsi="Times New Roman" w:cs="Times New Roman"/>
          <w:sz w:val="26"/>
          <w:szCs w:val="26"/>
        </w:rPr>
        <w:t xml:space="preserve"> </w:t>
      </w:r>
      <w:proofErr w:type="spellStart"/>
      <w:r w:rsidR="008A097F" w:rsidRPr="00B87971">
        <w:rPr>
          <w:rFonts w:ascii="Times New Roman" w:hAnsi="Times New Roman" w:cs="Times New Roman"/>
          <w:sz w:val="26"/>
          <w:szCs w:val="26"/>
        </w:rPr>
        <w:t>thuận</w:t>
      </w:r>
      <w:proofErr w:type="spellEnd"/>
      <w:r w:rsidRPr="00B87971">
        <w:rPr>
          <w:rFonts w:ascii="Times New Roman" w:hAnsi="Times New Roman" w:cs="Times New Roman"/>
          <w:sz w:val="26"/>
          <w:szCs w:val="26"/>
          <w:lang w:val="vi-VN"/>
        </w:rPr>
        <w:t xml:space="preserve"> bảo mật thông tin</w:t>
      </w:r>
      <w:r w:rsidR="008A097F" w:rsidRPr="00B87971">
        <w:rPr>
          <w:rFonts w:ascii="Times New Roman" w:hAnsi="Times New Roman" w:cs="Times New Roman"/>
          <w:sz w:val="26"/>
          <w:szCs w:val="26"/>
        </w:rPr>
        <w:t xml:space="preserve"> </w:t>
      </w:r>
      <w:r w:rsidR="00F0502F" w:rsidRPr="00B87971">
        <w:rPr>
          <w:rFonts w:ascii="Times New Roman" w:hAnsi="Times New Roman" w:cs="Times New Roman"/>
          <w:sz w:val="26"/>
          <w:szCs w:val="26"/>
          <w:lang w:val="vi-VN"/>
        </w:rPr>
        <w:t>non-disclose agreements - NDA)</w:t>
      </w:r>
      <w:r w:rsidRPr="00B87971">
        <w:rPr>
          <w:rFonts w:ascii="Times New Roman" w:hAnsi="Times New Roman" w:cs="Times New Roman"/>
          <w:sz w:val="26"/>
          <w:szCs w:val="26"/>
          <w:lang w:val="vi-VN"/>
        </w:rPr>
        <w:t xml:space="preserve"> là lập luận phổ biến nhất</w:t>
      </w:r>
      <w:r w:rsidR="006E3D0C" w:rsidRPr="00B87971">
        <w:rPr>
          <w:rStyle w:val="FootnoteReference"/>
          <w:rFonts w:ascii="Times New Roman" w:hAnsi="Times New Roman" w:cs="Times New Roman"/>
          <w:sz w:val="26"/>
          <w:szCs w:val="26"/>
        </w:rPr>
        <w:footnoteReference w:id="5"/>
      </w:r>
      <w:r w:rsidRPr="00B87971">
        <w:rPr>
          <w:rFonts w:ascii="Times New Roman" w:hAnsi="Times New Roman" w:cs="Times New Roman"/>
          <w:sz w:val="26"/>
          <w:szCs w:val="26"/>
          <w:lang w:val="vi-VN"/>
        </w:rPr>
        <w:t>. Vì vậy, điều khoản này đôi khi dễ bị nhầm lẫn</w:t>
      </w:r>
      <w:r w:rsidR="006E3D0C" w:rsidRPr="00B87971">
        <w:rPr>
          <w:rFonts w:ascii="Times New Roman" w:hAnsi="Times New Roman" w:cs="Times New Roman"/>
          <w:sz w:val="26"/>
          <w:szCs w:val="26"/>
          <w:lang w:val="vi-VN"/>
        </w:rPr>
        <w:t>, hoặc phân tách rõ ràng,</w:t>
      </w:r>
      <w:r w:rsidRPr="00B87971">
        <w:rPr>
          <w:rFonts w:ascii="Times New Roman" w:hAnsi="Times New Roman" w:cs="Times New Roman"/>
          <w:sz w:val="26"/>
          <w:szCs w:val="26"/>
          <w:lang w:val="vi-VN"/>
        </w:rPr>
        <w:t xml:space="preserve"> khi được gọi là điều khoản bảo mật thông tin kinh doanh, là điều khoản gắn với vấn đề pháp lý trọng yếu là “nghĩa vụ bảo mậ</w:t>
      </w:r>
      <w:r w:rsidR="00C37931" w:rsidRPr="00B87971">
        <w:rPr>
          <w:rFonts w:ascii="Times New Roman" w:hAnsi="Times New Roman" w:cs="Times New Roman"/>
          <w:sz w:val="26"/>
          <w:szCs w:val="26"/>
          <w:lang w:val="vi-VN"/>
        </w:rPr>
        <w:t>t”</w:t>
      </w:r>
      <w:r w:rsidR="00EC504B" w:rsidRPr="00B87971">
        <w:rPr>
          <w:rFonts w:ascii="Times New Roman" w:hAnsi="Times New Roman" w:cs="Times New Roman"/>
          <w:sz w:val="26"/>
          <w:szCs w:val="26"/>
          <w:lang w:val="vi-VN"/>
        </w:rPr>
        <w:t>,</w:t>
      </w:r>
      <w:r w:rsidR="00542E3E" w:rsidRPr="00B87971">
        <w:rPr>
          <w:rStyle w:val="FootnoteReference"/>
          <w:rFonts w:ascii="Times New Roman" w:hAnsi="Times New Roman" w:cs="Times New Roman"/>
          <w:sz w:val="26"/>
          <w:szCs w:val="26"/>
        </w:rPr>
        <w:footnoteReference w:id="6"/>
      </w:r>
      <w:r w:rsidR="00C37931" w:rsidRPr="00B87971">
        <w:rPr>
          <w:rFonts w:ascii="Times New Roman" w:hAnsi="Times New Roman" w:cs="Times New Roman"/>
          <w:sz w:val="26"/>
          <w:szCs w:val="26"/>
          <w:lang w:val="vi-VN"/>
        </w:rPr>
        <w:t xml:space="preserve"> trách nhiệm bồi thường thiệt hại do tiết lộ thông </w:t>
      </w:r>
      <w:r w:rsidR="00EC504B" w:rsidRPr="00B87971">
        <w:rPr>
          <w:rFonts w:ascii="Times New Roman" w:hAnsi="Times New Roman" w:cs="Times New Roman"/>
          <w:sz w:val="26"/>
          <w:szCs w:val="26"/>
          <w:lang w:val="vi-VN"/>
        </w:rPr>
        <w:t>tin và</w:t>
      </w:r>
      <w:r w:rsidR="00C37931" w:rsidRPr="00B87971">
        <w:rPr>
          <w:rFonts w:ascii="Times New Roman" w:hAnsi="Times New Roman" w:cs="Times New Roman"/>
          <w:sz w:val="26"/>
          <w:szCs w:val="26"/>
          <w:lang w:val="vi-VN"/>
        </w:rPr>
        <w:t xml:space="preserve"> được đề cập trong nhiều sắc luật khác.</w:t>
      </w:r>
      <w:r w:rsidRPr="00B87971">
        <w:rPr>
          <w:rFonts w:ascii="Times New Roman" w:hAnsi="Times New Roman" w:cs="Times New Roman"/>
          <w:sz w:val="26"/>
          <w:szCs w:val="26"/>
          <w:lang w:val="vi-VN"/>
        </w:rPr>
        <w:t xml:space="preserve"> Trong khi, bản chất pháp lý của điều khoản giới hạn kinh doanh chính là sự hạn chế quyền của người lao động. </w:t>
      </w:r>
      <w:r w:rsidR="00193B89" w:rsidRPr="00B87971">
        <w:rPr>
          <w:rFonts w:ascii="Times New Roman" w:hAnsi="Times New Roman" w:cs="Times New Roman"/>
          <w:sz w:val="26"/>
          <w:szCs w:val="26"/>
          <w:lang w:val="vi-VN"/>
        </w:rPr>
        <w:t>Trên thực tế, sử dụng thỏa thuận không cạnh tranh là một cách nhằm giúp người sử dụng lao động bảo vệ bí mật kinh doanh của mình. Chưa biết, cách thức sử dụng điều khoản này như vậy có phù hợp, có được pháp luật qui định hay tòa án chấp nhận hay không, nhưng chắc chắn là theo logic, người sử dụng lao động có nhiều cách để bảo vệ tính bảo mật của thông tin kinh doanh trong mối quan hệ với người lao động. Đ</w:t>
      </w:r>
      <w:r w:rsidRPr="00B87971">
        <w:rPr>
          <w:rFonts w:ascii="Times New Roman" w:hAnsi="Times New Roman" w:cs="Times New Roman"/>
          <w:sz w:val="26"/>
          <w:szCs w:val="26"/>
          <w:lang w:val="vi-VN"/>
        </w:rPr>
        <w:t>ó là lý do vì sao pháp luật các nước</w:t>
      </w:r>
      <w:r w:rsidR="00193B89" w:rsidRPr="00B87971">
        <w:rPr>
          <w:rFonts w:ascii="Times New Roman" w:hAnsi="Times New Roman" w:cs="Times New Roman"/>
          <w:sz w:val="26"/>
          <w:szCs w:val="26"/>
          <w:lang w:val="vi-VN"/>
        </w:rPr>
        <w:t xml:space="preserve"> mặc dù vẫn ghi nhận giá trị của cam kết bảo mật vẫn</w:t>
      </w:r>
      <w:r w:rsidRPr="00B87971">
        <w:rPr>
          <w:rFonts w:ascii="Times New Roman" w:hAnsi="Times New Roman" w:cs="Times New Roman"/>
          <w:sz w:val="26"/>
          <w:szCs w:val="26"/>
          <w:lang w:val="vi-VN"/>
        </w:rPr>
        <w:t xml:space="preserve"> thường tiếp cận điều khoản giới hạn kinh doanh một cách kỹ lưỡng hơn trong việc bảo vệ cân bằng quyền lợi của người lao động và người sử dụng lao động.</w:t>
      </w:r>
      <w:r w:rsidR="00F0502F" w:rsidRPr="00B87971">
        <w:rPr>
          <w:rFonts w:ascii="Times New Roman" w:hAnsi="Times New Roman" w:cs="Times New Roman"/>
          <w:sz w:val="26"/>
          <w:szCs w:val="26"/>
          <w:lang w:val="vi-VN"/>
        </w:rPr>
        <w:t xml:space="preserve"> </w:t>
      </w:r>
    </w:p>
    <w:p w14:paraId="45707549" w14:textId="117DA461" w:rsidR="00D72FB9" w:rsidRPr="00B87971" w:rsidRDefault="00193B8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Cũng cần phải trao đổi thêm là </w:t>
      </w:r>
      <w:r w:rsidR="00F0502F" w:rsidRPr="00B87971">
        <w:rPr>
          <w:rFonts w:ascii="Times New Roman" w:hAnsi="Times New Roman" w:cs="Times New Roman"/>
          <w:sz w:val="26"/>
          <w:szCs w:val="26"/>
          <w:lang w:val="vi-VN"/>
        </w:rPr>
        <w:t xml:space="preserve">nhiều hợp đồng kể cả </w:t>
      </w:r>
      <w:r w:rsidR="000304A7" w:rsidRPr="00B87971">
        <w:rPr>
          <w:rFonts w:ascii="Times New Roman" w:hAnsi="Times New Roman" w:cs="Times New Roman"/>
          <w:sz w:val="26"/>
          <w:szCs w:val="26"/>
          <w:lang w:val="vi-VN"/>
        </w:rPr>
        <w:t>HĐLĐ</w:t>
      </w:r>
      <w:r w:rsidR="00F0502F" w:rsidRPr="00B87971">
        <w:rPr>
          <w:rFonts w:ascii="Times New Roman" w:hAnsi="Times New Roman" w:cs="Times New Roman"/>
          <w:sz w:val="26"/>
          <w:szCs w:val="26"/>
          <w:lang w:val="vi-VN"/>
        </w:rPr>
        <w:t xml:space="preserve"> ở Việt Nam hiện </w:t>
      </w:r>
      <w:r w:rsidR="008B39CB" w:rsidRPr="00B87971">
        <w:rPr>
          <w:rFonts w:ascii="Times New Roman" w:hAnsi="Times New Roman" w:cs="Times New Roman"/>
          <w:sz w:val="26"/>
          <w:szCs w:val="26"/>
          <w:lang w:val="vi-VN"/>
        </w:rPr>
        <w:t xml:space="preserve">đang </w:t>
      </w:r>
      <w:r w:rsidR="00F0502F" w:rsidRPr="00B87971">
        <w:rPr>
          <w:rFonts w:ascii="Times New Roman" w:hAnsi="Times New Roman" w:cs="Times New Roman"/>
          <w:sz w:val="26"/>
          <w:szCs w:val="26"/>
          <w:lang w:val="vi-VN"/>
        </w:rPr>
        <w:t xml:space="preserve">có xu hướng phổ biến là áp dụng điều khoản hạn chế việc các bên cung cấp nội dung thông tin của hợp đồng. Bài viết không bàn về bản chất và hệ quả pháp lý của điều khoản này. Nhưng dù gì thì nội dung đó (trên thực tế vẫn được gọi là điều khoản bảo mật) vẫn không thể xem như nội dung thỏa thuận nhằm giới hạn kinh doanh trong </w:t>
      </w:r>
      <w:r w:rsidR="000304A7" w:rsidRPr="00B87971">
        <w:rPr>
          <w:rFonts w:ascii="Times New Roman" w:hAnsi="Times New Roman" w:cs="Times New Roman"/>
          <w:sz w:val="26"/>
          <w:szCs w:val="26"/>
          <w:lang w:val="vi-VN"/>
        </w:rPr>
        <w:t>HĐLĐ</w:t>
      </w:r>
      <w:r w:rsidR="00F0502F" w:rsidRPr="00B87971">
        <w:rPr>
          <w:rFonts w:ascii="Times New Roman" w:hAnsi="Times New Roman" w:cs="Times New Roman"/>
          <w:sz w:val="26"/>
          <w:szCs w:val="26"/>
          <w:lang w:val="vi-VN"/>
        </w:rPr>
        <w:t xml:space="preserve"> mà bài viết đang phân tích. Hay nói cách khác, bảo mật thông tin là một vấn đề pháp lý mặc khác, mặc dù có mối liên hệ ít nhiều với điều khoản giới hạn kinh donah. Vì vậy, việc sử dụng điều khoản bảo mật để áp đặt các giới hạn quyền lên người lao động cần được xem xét một cách kỹ lưỡng. </w:t>
      </w:r>
    </w:p>
    <w:p w14:paraId="3ADD1F7D" w14:textId="5B860D6E" w:rsidR="007010DE" w:rsidRPr="00B87971" w:rsidRDefault="00C8631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Thực ra, điều khoản giới hạn kinh doanh trong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xuất hiện và tồn tại dựa trên cơ sở lý thuyết kinh tế-pháp lý hướng đến thúc đẩy sáng tạo và đầu tư. Ngoài lý do bảo mật kinh doanh (thúc đẩy sáng tạo), giới hạn kinh doanh đối với người lao động còn đặt ra như là một công cụ để bù đắp chi phí mà họ đã bỏ cho thị trường lao động. Với điều khoản giới hạn này, người sử dụng lao động không ngần ngại tiếp nhận lao động chưa đáp ứng kỹ năng và theo đó mở thêm các khóa đào tạo bổ sung cho người lao động. Thông thường, người lao động khi đó ít muốn tự mình chi trả chi phí. Người sử dụng lao động trong trường hợp đó cần được bù đắp chi phí phát triển nhân sự, và thường để nuôi hi vọng là người lao động sẽ tiếp tục làm việc với họ</w:t>
      </w:r>
      <w:r w:rsidR="00B94594" w:rsidRPr="00B87971">
        <w:rPr>
          <w:rStyle w:val="FootnoteReference"/>
          <w:rFonts w:ascii="Times New Roman" w:hAnsi="Times New Roman" w:cs="Times New Roman"/>
          <w:sz w:val="26"/>
          <w:szCs w:val="26"/>
        </w:rPr>
        <w:footnoteReference w:id="7"/>
      </w:r>
      <w:r w:rsidR="00B94594" w:rsidRPr="00B87971">
        <w:rPr>
          <w:rFonts w:ascii="Times New Roman" w:hAnsi="Times New Roman" w:cs="Times New Roman"/>
          <w:sz w:val="26"/>
          <w:szCs w:val="26"/>
          <w:lang w:val="vi-VN"/>
        </w:rPr>
        <w:t>.</w:t>
      </w:r>
    </w:p>
    <w:p w14:paraId="73BF037D" w14:textId="5AF38A79" w:rsidR="00BE65C8" w:rsidRPr="00B87971" w:rsidRDefault="00C8631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Tuy nhiên, việc người sử dụng lao động lạm dụng điều khoản quá mức nhằm bảo vệ lợi ích của mình có thể gây tổn hại đến người lao động, và thậm chí cả thị trường và nền kinh tế. Đặc biệt, người lao động có thể chưa nhận thức đầy đủ về điều khoản cũng như </w:t>
      </w:r>
      <w:r w:rsidRPr="00B87971">
        <w:rPr>
          <w:rFonts w:ascii="Times New Roman" w:hAnsi="Times New Roman" w:cs="Times New Roman"/>
          <w:sz w:val="26"/>
          <w:szCs w:val="26"/>
          <w:lang w:val="vi-VN"/>
        </w:rPr>
        <w:lastRenderedPageBreak/>
        <w:t>những hàm ý của nó. Họ cũng chưa hình dung được tính linh hoạt của việc làm tương lai và quyền và sức mạnh đàm phán hợp đồng mà họ có. Nếu họ có biết thì thường là sau khi đã ký hợp đồng và sự ràng buộc của điều khoản bắt đầu có tác dụng. Có thể nói, dù thế nào thì người sử dụng lao động nắm giữ “thế mạnh đã được tăng cường khi đàm phán về tiền lương trong tương lai, giảm chi phí doanh thu, và làm giảm khả năng thuê mướn lao động của đối thủ”</w:t>
      </w:r>
      <w:r w:rsidRPr="00B87971">
        <w:rPr>
          <w:rStyle w:val="FootnoteReference"/>
          <w:rFonts w:ascii="Times New Roman" w:hAnsi="Times New Roman" w:cs="Times New Roman"/>
          <w:sz w:val="26"/>
          <w:szCs w:val="26"/>
        </w:rPr>
        <w:footnoteReference w:id="8"/>
      </w:r>
      <w:r w:rsidRPr="00B87971">
        <w:rPr>
          <w:rFonts w:ascii="Times New Roman" w:hAnsi="Times New Roman" w:cs="Times New Roman"/>
          <w:sz w:val="26"/>
          <w:szCs w:val="26"/>
          <w:lang w:val="vi-VN"/>
        </w:rPr>
        <w:t xml:space="preserve">. </w:t>
      </w:r>
      <w:r w:rsidR="00BE65C8" w:rsidRPr="00B87971">
        <w:rPr>
          <w:rFonts w:ascii="Times New Roman" w:hAnsi="Times New Roman" w:cs="Times New Roman"/>
          <w:sz w:val="26"/>
          <w:szCs w:val="26"/>
          <w:lang w:val="vi-VN"/>
        </w:rPr>
        <w:t xml:space="preserve">Nói tóm lại, ngoài những tác động tích cực, việc sử dụng điều khoản giới hạn kinh doanh trong </w:t>
      </w:r>
      <w:r w:rsidR="000304A7" w:rsidRPr="00B87971">
        <w:rPr>
          <w:rFonts w:ascii="Times New Roman" w:hAnsi="Times New Roman" w:cs="Times New Roman"/>
          <w:sz w:val="26"/>
          <w:szCs w:val="26"/>
          <w:lang w:val="vi-VN"/>
        </w:rPr>
        <w:t>HĐLĐ</w:t>
      </w:r>
      <w:r w:rsidR="00BE65C8" w:rsidRPr="00B87971">
        <w:rPr>
          <w:rFonts w:ascii="Times New Roman" w:hAnsi="Times New Roman" w:cs="Times New Roman"/>
          <w:sz w:val="26"/>
          <w:szCs w:val="26"/>
          <w:lang w:val="vi-VN"/>
        </w:rPr>
        <w:t xml:space="preserve"> có thể sẽ “kiềm hãm tính hiệu quả của kinh tế khi thúc đẩy xu hướng giảm lương, giới hạn di chuyển (lao động), và gây ức chế cho quá trình đổi mới”</w:t>
      </w:r>
      <w:r w:rsidR="00BE65C8" w:rsidRPr="00B87971">
        <w:rPr>
          <w:rStyle w:val="FootnoteReference"/>
          <w:rFonts w:ascii="Times New Roman" w:hAnsi="Times New Roman" w:cs="Times New Roman"/>
          <w:sz w:val="26"/>
          <w:szCs w:val="26"/>
        </w:rPr>
        <w:footnoteReference w:id="9"/>
      </w:r>
      <w:r w:rsidR="00BE65C8" w:rsidRPr="00B87971">
        <w:rPr>
          <w:rFonts w:ascii="Times New Roman" w:hAnsi="Times New Roman" w:cs="Times New Roman"/>
          <w:sz w:val="26"/>
          <w:szCs w:val="26"/>
          <w:lang w:val="vi-VN"/>
        </w:rPr>
        <w:t xml:space="preserve">. </w:t>
      </w:r>
      <w:r w:rsidR="007010DE" w:rsidRPr="00B87971">
        <w:rPr>
          <w:rFonts w:ascii="Times New Roman" w:hAnsi="Times New Roman" w:cs="Times New Roman"/>
          <w:sz w:val="26"/>
          <w:szCs w:val="26"/>
          <w:lang w:val="vi-VN"/>
        </w:rPr>
        <w:t>Việc tiếp cận về mặt chính sách và pháp luật thực định vì vậy phải dựa trên cả hai chiều hướng tác động này của điều khoả</w:t>
      </w:r>
      <w:r w:rsidR="00B94594" w:rsidRPr="00B87971">
        <w:rPr>
          <w:rFonts w:ascii="Times New Roman" w:hAnsi="Times New Roman" w:cs="Times New Roman"/>
          <w:sz w:val="26"/>
          <w:szCs w:val="26"/>
          <w:lang w:val="vi-VN"/>
        </w:rPr>
        <w:t>n, thậm chí chỉ nên áp dụng trong một số lĩnh vực lao động cần thiết như đề xuất của chính quyền liên bang Hoa Kỳ</w:t>
      </w:r>
      <w:r w:rsidR="00B94594" w:rsidRPr="00B87971">
        <w:rPr>
          <w:rStyle w:val="FootnoteReference"/>
          <w:rFonts w:ascii="Times New Roman" w:hAnsi="Times New Roman" w:cs="Times New Roman"/>
          <w:sz w:val="26"/>
          <w:szCs w:val="26"/>
        </w:rPr>
        <w:footnoteReference w:id="10"/>
      </w:r>
      <w:r w:rsidR="00B94594" w:rsidRPr="00B87971">
        <w:rPr>
          <w:rFonts w:ascii="Times New Roman" w:hAnsi="Times New Roman" w:cs="Times New Roman"/>
          <w:sz w:val="26"/>
          <w:szCs w:val="26"/>
          <w:lang w:val="vi-VN"/>
        </w:rPr>
        <w:t xml:space="preserve">. </w:t>
      </w:r>
    </w:p>
    <w:p w14:paraId="23AE7A0A" w14:textId="5D4AD4EE" w:rsidR="00F0502F" w:rsidRPr="00B87971" w:rsidRDefault="00D72FB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Nhìn chung, có hai cách tiếp cận phổ biến trên thế giới về vấn đề này. Thứ nhất, điều khoản giới hạn kinh doanh về nguyên tắc bị xem là vô hiệu, nhưng sẽ được chấp nhận trong một vài trường hợp. </w:t>
      </w:r>
      <w:r w:rsidR="00F0502F" w:rsidRPr="00B87971">
        <w:rPr>
          <w:rFonts w:ascii="Times New Roman" w:hAnsi="Times New Roman" w:cs="Times New Roman"/>
          <w:sz w:val="26"/>
          <w:szCs w:val="26"/>
          <w:lang w:val="vi-VN"/>
        </w:rPr>
        <w:t>Điển hình như Anh, xuất phát điểm trong tiếp cận pháp lý của quốc gia này là đi</w:t>
      </w:r>
      <w:r w:rsidR="00070A80" w:rsidRPr="00B87971">
        <w:rPr>
          <w:rFonts w:ascii="Times New Roman" w:hAnsi="Times New Roman" w:cs="Times New Roman"/>
          <w:sz w:val="26"/>
          <w:szCs w:val="26"/>
          <w:lang w:val="vi-VN"/>
        </w:rPr>
        <w:t>ều khoản không cạnh tranh giữa người sử dụng lao động và người lao động là vô hiệu (void) vì đã chống lại các chính sách công (</w:t>
      </w:r>
      <w:r w:rsidR="00070A80" w:rsidRPr="00B87971">
        <w:rPr>
          <w:rFonts w:ascii="Times New Roman" w:hAnsi="Times New Roman" w:cs="Times New Roman"/>
          <w:color w:val="000000"/>
          <w:sz w:val="26"/>
          <w:szCs w:val="26"/>
          <w:lang w:val="vi-VN"/>
        </w:rPr>
        <w:t>contrary to public policy). Tuy nhiên, thỏa thuận đó có thể được giữ lại nếu người sử dụng lao động chứng m</w:t>
      </w:r>
      <w:proofErr w:type="spellStart"/>
      <w:r w:rsidR="007111DB" w:rsidRPr="00B87971">
        <w:rPr>
          <w:rFonts w:ascii="Times New Roman" w:hAnsi="Times New Roman" w:cs="Times New Roman"/>
          <w:color w:val="000000"/>
          <w:sz w:val="26"/>
          <w:szCs w:val="26"/>
        </w:rPr>
        <w:t>i</w:t>
      </w:r>
      <w:proofErr w:type="spellEnd"/>
      <w:r w:rsidR="00070A80" w:rsidRPr="00B87971">
        <w:rPr>
          <w:rFonts w:ascii="Times New Roman" w:hAnsi="Times New Roman" w:cs="Times New Roman"/>
          <w:color w:val="000000"/>
          <w:sz w:val="26"/>
          <w:szCs w:val="26"/>
          <w:lang w:val="vi-VN"/>
        </w:rPr>
        <w:t>nh được rằng (i) điều khoản đó l</w:t>
      </w:r>
      <w:r w:rsidR="007111DB" w:rsidRPr="00B87971">
        <w:rPr>
          <w:rFonts w:ascii="Times New Roman" w:hAnsi="Times New Roman" w:cs="Times New Roman"/>
          <w:color w:val="000000"/>
          <w:sz w:val="26"/>
          <w:szCs w:val="26"/>
        </w:rPr>
        <w:t>à</w:t>
      </w:r>
      <w:r w:rsidR="00070A80" w:rsidRPr="00B87971">
        <w:rPr>
          <w:rFonts w:ascii="Times New Roman" w:hAnsi="Times New Roman" w:cs="Times New Roman"/>
          <w:color w:val="000000"/>
          <w:sz w:val="26"/>
          <w:szCs w:val="26"/>
          <w:lang w:val="vi-VN"/>
        </w:rPr>
        <w:t xml:space="preserve"> cần thiết để bảo vệ các lợi ích kinh doanh hợp pháp và (ii) giới hạn này không vượt quá mức cần thiế</w:t>
      </w:r>
      <w:r w:rsidR="008D5686" w:rsidRPr="00B87971">
        <w:rPr>
          <w:rFonts w:ascii="Times New Roman" w:hAnsi="Times New Roman" w:cs="Times New Roman"/>
          <w:color w:val="000000"/>
          <w:sz w:val="26"/>
          <w:szCs w:val="26"/>
          <w:lang w:val="vi-VN"/>
        </w:rPr>
        <w:t xml:space="preserve">t </w:t>
      </w:r>
      <w:r w:rsidR="00070A80" w:rsidRPr="00B87971">
        <w:rPr>
          <w:rFonts w:ascii="Times New Roman" w:hAnsi="Times New Roman" w:cs="Times New Roman"/>
          <w:color w:val="000000"/>
          <w:sz w:val="26"/>
          <w:szCs w:val="26"/>
          <w:lang w:val="vi-VN"/>
        </w:rPr>
        <w:t>để bảo vệ</w:t>
      </w:r>
      <w:r w:rsidR="00BC4E8A" w:rsidRPr="00B87971">
        <w:rPr>
          <w:rFonts w:ascii="Times New Roman" w:hAnsi="Times New Roman" w:cs="Times New Roman"/>
          <w:color w:val="000000"/>
          <w:sz w:val="26"/>
          <w:szCs w:val="26"/>
          <w:lang w:val="vi-VN"/>
        </w:rPr>
        <w:t xml:space="preserve"> </w:t>
      </w:r>
      <w:r w:rsidR="00070A80" w:rsidRPr="00B87971">
        <w:rPr>
          <w:rFonts w:ascii="Times New Roman" w:hAnsi="Times New Roman" w:cs="Times New Roman"/>
          <w:color w:val="000000"/>
          <w:sz w:val="26"/>
          <w:szCs w:val="26"/>
          <w:lang w:val="vi-VN"/>
        </w:rPr>
        <w:t>lợi ích đó.</w:t>
      </w:r>
      <w:r w:rsidR="00F0502F" w:rsidRPr="00B87971">
        <w:rPr>
          <w:rStyle w:val="FootnoteReference"/>
          <w:rFonts w:ascii="Times New Roman" w:hAnsi="Times New Roman" w:cs="Times New Roman"/>
          <w:sz w:val="26"/>
          <w:szCs w:val="26"/>
        </w:rPr>
        <w:footnoteReference w:id="11"/>
      </w:r>
      <w:r w:rsidR="00F0502F" w:rsidRPr="00B87971">
        <w:rPr>
          <w:rFonts w:ascii="Times New Roman" w:hAnsi="Times New Roman" w:cs="Times New Roman"/>
          <w:color w:val="000000"/>
          <w:sz w:val="26"/>
          <w:szCs w:val="26"/>
          <w:lang w:val="vi-VN"/>
        </w:rPr>
        <w:t xml:space="preserve"> </w:t>
      </w:r>
    </w:p>
    <w:p w14:paraId="700732DB" w14:textId="3D20B1C1" w:rsidR="00086623" w:rsidRPr="00B87971" w:rsidRDefault="00D72FB9"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Ngược lại, cách tiếp cận thứ hai sẽ chấp nhận giá trị pháp lý của thỏa thuận khi điều khoản đó thỏa mãn đầy đủ các điều kiện. Điều đó cũng có nghĩa, điều khoản này sẽ bị bác bỏ nếu chưa đáp ứng yêu cầu về mặt pháp lý. </w:t>
      </w:r>
      <w:r w:rsidR="00070A80" w:rsidRPr="00B87971">
        <w:rPr>
          <w:rFonts w:ascii="Times New Roman" w:hAnsi="Times New Roman" w:cs="Times New Roman"/>
          <w:sz w:val="26"/>
          <w:szCs w:val="26"/>
          <w:lang w:val="vi-VN"/>
        </w:rPr>
        <w:t xml:space="preserve">Đơn cử, hiệu lực của điều khoản không cạnh tranh trong </w:t>
      </w:r>
      <w:r w:rsidR="000304A7" w:rsidRPr="00B87971">
        <w:rPr>
          <w:rFonts w:ascii="Times New Roman" w:hAnsi="Times New Roman" w:cs="Times New Roman"/>
          <w:sz w:val="26"/>
          <w:szCs w:val="26"/>
          <w:lang w:val="vi-VN"/>
        </w:rPr>
        <w:t>HĐLĐ</w:t>
      </w:r>
      <w:r w:rsidR="00070A80" w:rsidRPr="00B87971">
        <w:rPr>
          <w:rFonts w:ascii="Times New Roman" w:hAnsi="Times New Roman" w:cs="Times New Roman"/>
          <w:sz w:val="26"/>
          <w:szCs w:val="26"/>
          <w:lang w:val="vi-VN"/>
        </w:rPr>
        <w:t xml:space="preserve"> sẽ được Tòa án Pháp ghi nhận nếu điều khoản đó (i) không giới hạn quá mức khả năng làm việc trong lĩnh vực của họ và (ii) người sử dụng lao động đã hoàn trả phần bù cho người lao động trước đó.</w:t>
      </w:r>
      <w:r w:rsidR="00581609" w:rsidRPr="00B87971">
        <w:rPr>
          <w:rStyle w:val="FootnoteReference"/>
          <w:rFonts w:ascii="Times New Roman" w:hAnsi="Times New Roman" w:cs="Times New Roman"/>
          <w:sz w:val="26"/>
          <w:szCs w:val="26"/>
        </w:rPr>
        <w:footnoteReference w:id="12"/>
      </w:r>
      <w:r w:rsidR="00581609" w:rsidRPr="00B87971">
        <w:rPr>
          <w:rFonts w:ascii="Times New Roman" w:hAnsi="Times New Roman" w:cs="Times New Roman"/>
          <w:color w:val="000000"/>
          <w:sz w:val="26"/>
          <w:szCs w:val="26"/>
          <w:lang w:val="vi-VN"/>
        </w:rPr>
        <w:t xml:space="preserve"> </w:t>
      </w:r>
      <w:r w:rsidR="00070A80" w:rsidRPr="00B87971">
        <w:rPr>
          <w:rFonts w:ascii="Times New Roman" w:hAnsi="Times New Roman" w:cs="Times New Roman"/>
          <w:color w:val="000000"/>
          <w:sz w:val="26"/>
          <w:szCs w:val="26"/>
          <w:lang w:val="vi-VN"/>
        </w:rPr>
        <w:t>Tương tự, thỏa thuận giới hạn kinh doanh ở Canada cũng được bảo đảm về mặt giá trị pháp  lý nếu như nội dung thỏa thuận đó có sự cân bằng hợp lý lợi ích các bên và lợi ích công cộng</w:t>
      </w:r>
      <w:r w:rsidR="003A5D07" w:rsidRPr="00B87971">
        <w:rPr>
          <w:rStyle w:val="FootnoteReference"/>
          <w:rFonts w:ascii="Times New Roman" w:hAnsi="Times New Roman" w:cs="Times New Roman"/>
          <w:sz w:val="26"/>
          <w:szCs w:val="26"/>
        </w:rPr>
        <w:footnoteReference w:id="13"/>
      </w:r>
      <w:r w:rsidR="00CA531A" w:rsidRPr="00B87971">
        <w:rPr>
          <w:rFonts w:ascii="Times New Roman" w:hAnsi="Times New Roman" w:cs="Times New Roman"/>
          <w:color w:val="000000"/>
          <w:sz w:val="26"/>
          <w:szCs w:val="26"/>
          <w:lang w:val="vi-VN"/>
        </w:rPr>
        <w:t>.</w:t>
      </w:r>
      <w:r w:rsidR="00070A80" w:rsidRPr="00B87971">
        <w:rPr>
          <w:rFonts w:ascii="Times New Roman" w:hAnsi="Times New Roman" w:cs="Times New Roman"/>
          <w:sz w:val="26"/>
          <w:szCs w:val="26"/>
          <w:lang w:val="vi-VN"/>
        </w:rPr>
        <w:t xml:space="preserve"> </w:t>
      </w:r>
      <w:r w:rsidR="00423D92" w:rsidRPr="00B87971">
        <w:rPr>
          <w:rFonts w:ascii="Times New Roman" w:hAnsi="Times New Roman" w:cs="Times New Roman"/>
          <w:sz w:val="26"/>
          <w:szCs w:val="26"/>
          <w:lang w:val="vi-VN"/>
        </w:rPr>
        <w:t>Hay nói cách khác, để được chấp nhận thì điều khoản này phải thể hiện tính hợp lý của nó</w:t>
      </w:r>
      <w:r w:rsidR="00423D92" w:rsidRPr="00B87971">
        <w:rPr>
          <w:rStyle w:val="FootnoteReference"/>
          <w:rFonts w:ascii="Times New Roman" w:hAnsi="Times New Roman" w:cs="Times New Roman"/>
          <w:sz w:val="26"/>
          <w:szCs w:val="26"/>
        </w:rPr>
        <w:footnoteReference w:id="14"/>
      </w:r>
      <w:r w:rsidR="00423D92" w:rsidRPr="00B87971">
        <w:rPr>
          <w:rFonts w:ascii="Times New Roman" w:hAnsi="Times New Roman" w:cs="Times New Roman"/>
          <w:sz w:val="26"/>
          <w:szCs w:val="26"/>
          <w:lang w:val="vi-VN"/>
        </w:rPr>
        <w:t xml:space="preserve">. </w:t>
      </w:r>
    </w:p>
    <w:p w14:paraId="3CCDA63F" w14:textId="6CC93F24" w:rsidR="00D72FB9" w:rsidRPr="00B87971" w:rsidRDefault="00D72FB9" w:rsidP="00F33E92">
      <w:pPr>
        <w:pStyle w:val="ListParagraph"/>
        <w:numPr>
          <w:ilvl w:val="0"/>
          <w:numId w:val="3"/>
        </w:numPr>
        <w:adjustRightInd w:val="0"/>
        <w:snapToGrid w:val="0"/>
        <w:spacing w:after="120" w:line="240" w:lineRule="auto"/>
        <w:jc w:val="both"/>
        <w:rPr>
          <w:rFonts w:ascii="Times New Roman" w:hAnsi="Times New Roman" w:cs="Times New Roman"/>
          <w:b/>
          <w:sz w:val="26"/>
          <w:szCs w:val="26"/>
          <w:lang w:val="vi-VN"/>
        </w:rPr>
      </w:pPr>
      <w:r w:rsidRPr="00B87971">
        <w:rPr>
          <w:rFonts w:ascii="Times New Roman" w:hAnsi="Times New Roman" w:cs="Times New Roman"/>
          <w:b/>
          <w:sz w:val="26"/>
          <w:szCs w:val="26"/>
          <w:lang w:val="vi-VN"/>
        </w:rPr>
        <w:t>Thực tiễn giải quyết tranh chấp tại một số nước</w:t>
      </w:r>
    </w:p>
    <w:p w14:paraId="47B44F55" w14:textId="3750CF3E" w:rsidR="009C3026" w:rsidRPr="00B87971" w:rsidRDefault="009C3026"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Chung quy lại,</w:t>
      </w:r>
      <w:r w:rsidR="00423D92" w:rsidRPr="00B87971">
        <w:rPr>
          <w:rFonts w:ascii="Times New Roman" w:hAnsi="Times New Roman" w:cs="Times New Roman"/>
          <w:sz w:val="26"/>
          <w:szCs w:val="26"/>
          <w:lang w:val="vi-VN"/>
        </w:rPr>
        <w:t xml:space="preserve"> </w:t>
      </w:r>
      <w:r w:rsidRPr="00B87971">
        <w:rPr>
          <w:rFonts w:ascii="Times New Roman" w:hAnsi="Times New Roman" w:cs="Times New Roman"/>
          <w:sz w:val="26"/>
          <w:szCs w:val="26"/>
          <w:lang w:val="vi-VN"/>
        </w:rPr>
        <w:t>dù là cách tiếp cậ</w:t>
      </w:r>
      <w:r w:rsidR="00423D92" w:rsidRPr="00B87971">
        <w:rPr>
          <w:rFonts w:ascii="Times New Roman" w:hAnsi="Times New Roman" w:cs="Times New Roman"/>
          <w:sz w:val="26"/>
          <w:szCs w:val="26"/>
          <w:lang w:val="vi-VN"/>
        </w:rPr>
        <w:t xml:space="preserve">n nào </w:t>
      </w:r>
      <w:r w:rsidRPr="00B87971">
        <w:rPr>
          <w:rFonts w:ascii="Times New Roman" w:hAnsi="Times New Roman" w:cs="Times New Roman"/>
          <w:sz w:val="26"/>
          <w:szCs w:val="26"/>
          <w:lang w:val="vi-VN"/>
        </w:rPr>
        <w:t xml:space="preserve">thì vấn đề chính yếu nhất vẫn là việc đặt ra và xem xét “tiêu chuẩn” của điều khoản. Và đó là việc thiết yếu cần đánh giá khi xem xét giá trị pháp lý của điều khoản này. </w:t>
      </w:r>
    </w:p>
    <w:p w14:paraId="4FC2C3D9" w14:textId="5A4AAAF6" w:rsidR="003F7193" w:rsidRPr="00B87971" w:rsidRDefault="003F7193"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lastRenderedPageBreak/>
        <w:t>“Tiêu chuẩn”</w:t>
      </w:r>
      <w:r w:rsidR="002A67CA" w:rsidRPr="00B87971">
        <w:rPr>
          <w:rFonts w:ascii="Times New Roman" w:hAnsi="Times New Roman" w:cs="Times New Roman"/>
          <w:sz w:val="26"/>
          <w:szCs w:val="26"/>
          <w:lang w:val="vi-VN"/>
        </w:rPr>
        <w:t xml:space="preserve"> để xem xét giá trị pháp lý của điều khoản giới hạn kinh doanh trong </w:t>
      </w:r>
      <w:r w:rsidR="000304A7" w:rsidRPr="00B87971">
        <w:rPr>
          <w:rFonts w:ascii="Times New Roman" w:hAnsi="Times New Roman" w:cs="Times New Roman"/>
          <w:sz w:val="26"/>
          <w:szCs w:val="26"/>
          <w:lang w:val="vi-VN"/>
        </w:rPr>
        <w:t>HĐLĐ</w:t>
      </w:r>
      <w:r w:rsidR="002A67CA" w:rsidRPr="00B87971">
        <w:rPr>
          <w:rFonts w:ascii="Times New Roman" w:hAnsi="Times New Roman" w:cs="Times New Roman"/>
          <w:sz w:val="26"/>
          <w:szCs w:val="26"/>
          <w:lang w:val="vi-VN"/>
        </w:rPr>
        <w:t xml:space="preserve"> </w:t>
      </w:r>
      <w:r w:rsidRPr="00B87971">
        <w:rPr>
          <w:rFonts w:ascii="Times New Roman" w:hAnsi="Times New Roman" w:cs="Times New Roman"/>
          <w:sz w:val="26"/>
          <w:szCs w:val="26"/>
          <w:lang w:val="vi-VN"/>
        </w:rPr>
        <w:t xml:space="preserve">chính là tính hợp lý </w:t>
      </w:r>
      <w:r w:rsidR="001857E1" w:rsidRPr="00B87971">
        <w:rPr>
          <w:rFonts w:ascii="Times New Roman" w:hAnsi="Times New Roman" w:cs="Times New Roman"/>
          <w:sz w:val="26"/>
          <w:szCs w:val="26"/>
          <w:lang w:val="vi-VN"/>
        </w:rPr>
        <w:t xml:space="preserve">(reasonableness) </w:t>
      </w:r>
      <w:r w:rsidRPr="00B87971">
        <w:rPr>
          <w:rFonts w:ascii="Times New Roman" w:hAnsi="Times New Roman" w:cs="Times New Roman"/>
          <w:sz w:val="26"/>
          <w:szCs w:val="26"/>
          <w:lang w:val="vi-VN"/>
        </w:rPr>
        <w:t>của nội dung giới hạn</w:t>
      </w:r>
      <w:r w:rsidR="00A24FEE" w:rsidRPr="00B87971">
        <w:rPr>
          <w:rStyle w:val="FootnoteReference"/>
          <w:rFonts w:ascii="Times New Roman" w:hAnsi="Times New Roman" w:cs="Times New Roman"/>
          <w:sz w:val="26"/>
          <w:szCs w:val="26"/>
        </w:rPr>
        <w:footnoteReference w:id="15"/>
      </w:r>
      <w:r w:rsidRPr="00B87971">
        <w:rPr>
          <w:rFonts w:ascii="Times New Roman" w:hAnsi="Times New Roman" w:cs="Times New Roman"/>
          <w:sz w:val="26"/>
          <w:szCs w:val="26"/>
          <w:lang w:val="vi-VN"/>
        </w:rPr>
        <w:t>. Lấy quy định của Nhật Bản làm điển hình, để xem xét tính hợp lý này, có bốn yếu tố cần được lưu ý. Một, việc áp dụng điều khoản có phải là điều kiện cần thiết để bảo vệ lợi ích của bên sử dụng lao động hay không. Hai, vị thế của người lao động trong hợp đồng đó như thế nào. Ba, giới hạn về công việc, thời gian và khu vực địa lý có thật sự phù hợp. Và bốn, người lao động đã được đền bù cho sự giới hạn đó hay chưa</w:t>
      </w:r>
      <w:r w:rsidR="00A24FEE" w:rsidRPr="00B87971">
        <w:rPr>
          <w:rStyle w:val="FootnoteReference"/>
          <w:rFonts w:ascii="Times New Roman" w:hAnsi="Times New Roman" w:cs="Times New Roman"/>
          <w:sz w:val="26"/>
          <w:szCs w:val="26"/>
        </w:rPr>
        <w:footnoteReference w:id="16"/>
      </w:r>
      <w:r w:rsidRPr="00B87971">
        <w:rPr>
          <w:rFonts w:ascii="Times New Roman" w:hAnsi="Times New Roman" w:cs="Times New Roman"/>
          <w:sz w:val="26"/>
          <w:szCs w:val="26"/>
          <w:lang w:val="vi-VN"/>
        </w:rPr>
        <w:t xml:space="preserve">. </w:t>
      </w:r>
    </w:p>
    <w:p w14:paraId="7DE03DD6" w14:textId="3A01FA50" w:rsidR="003F7193" w:rsidRPr="00B87971" w:rsidRDefault="003F7193"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Trên thực tế, trong vụ việc liên quan đến </w:t>
      </w:r>
      <w:r w:rsidR="000304A7" w:rsidRPr="00B87971">
        <w:rPr>
          <w:rFonts w:ascii="Times New Roman" w:hAnsi="Times New Roman" w:cs="Times New Roman"/>
          <w:sz w:val="26"/>
          <w:szCs w:val="26"/>
          <w:lang w:val="vi-VN"/>
        </w:rPr>
        <w:t>HĐLĐ</w:t>
      </w:r>
      <w:r w:rsidRPr="00B87971">
        <w:rPr>
          <w:rFonts w:ascii="Times New Roman" w:hAnsi="Times New Roman" w:cs="Times New Roman"/>
          <w:sz w:val="26"/>
          <w:szCs w:val="26"/>
          <w:lang w:val="vi-VN"/>
        </w:rPr>
        <w:t xml:space="preserve"> của công ty </w:t>
      </w:r>
      <w:r w:rsidRPr="00B87971">
        <w:rPr>
          <w:rFonts w:ascii="Times New Roman" w:hAnsi="Times New Roman" w:cs="Times New Roman"/>
          <w:i/>
          <w:sz w:val="26"/>
          <w:szCs w:val="26"/>
          <w:lang w:val="vi-VN"/>
        </w:rPr>
        <w:t xml:space="preserve">Foseco </w:t>
      </w:r>
      <w:r w:rsidRPr="00B87971">
        <w:rPr>
          <w:rFonts w:ascii="Times New Roman" w:hAnsi="Times New Roman" w:cs="Times New Roman"/>
          <w:sz w:val="26"/>
          <w:szCs w:val="26"/>
          <w:lang w:val="vi-VN"/>
        </w:rPr>
        <w:t xml:space="preserve">năm 1970, Tòa án Nhật Bản đã chấp nhận điều khoản không cho phép giám đốc công ty (sau khi tiếp cận quá nhiều thông tin về kỹ thuật) làm giám đốc công ty khác sau khi nghỉ việc. Các phán quyết tương tự cũng được Tòa án áp dụng đối với giáo viên của trường </w:t>
      </w:r>
      <w:r w:rsidRPr="00B87971">
        <w:rPr>
          <w:rFonts w:ascii="Times New Roman" w:hAnsi="Times New Roman" w:cs="Times New Roman"/>
          <w:i/>
          <w:iCs/>
          <w:color w:val="000000"/>
          <w:sz w:val="26"/>
          <w:szCs w:val="26"/>
          <w:lang w:val="vi-VN"/>
        </w:rPr>
        <w:t>Gakushu Kyoryokukai</w:t>
      </w:r>
      <w:r w:rsidRPr="00B87971">
        <w:rPr>
          <w:rFonts w:ascii="Times New Roman" w:hAnsi="Times New Roman" w:cs="Times New Roman"/>
          <w:sz w:val="26"/>
          <w:szCs w:val="26"/>
          <w:lang w:val="vi-VN"/>
        </w:rPr>
        <w:t xml:space="preserve"> (1990) vì có thể “lôi kéo” học sinh của trường này sang trường tư của chính mình nếu thành lập trong vòng ba năm sau khi nghỉ việc hay với giám đốc kinh doanh của công ty </w:t>
      </w:r>
      <w:r w:rsidRPr="00B87971">
        <w:rPr>
          <w:rFonts w:ascii="Times New Roman" w:hAnsi="Times New Roman" w:cs="Times New Roman"/>
          <w:i/>
          <w:iCs/>
          <w:color w:val="000000"/>
          <w:sz w:val="26"/>
          <w:szCs w:val="26"/>
          <w:lang w:val="vi-VN"/>
        </w:rPr>
        <w:t xml:space="preserve">Shin Osaka Boeki </w:t>
      </w:r>
      <w:r w:rsidRPr="00B87971">
        <w:rPr>
          <w:rFonts w:ascii="Times New Roman" w:hAnsi="Times New Roman" w:cs="Times New Roman"/>
          <w:iCs/>
          <w:color w:val="000000"/>
          <w:sz w:val="26"/>
          <w:szCs w:val="26"/>
          <w:lang w:val="vi-VN"/>
        </w:rPr>
        <w:t>(1991)</w:t>
      </w:r>
      <w:r w:rsidRPr="00B87971">
        <w:rPr>
          <w:rFonts w:ascii="Times New Roman" w:hAnsi="Times New Roman" w:cs="Times New Roman"/>
          <w:i/>
          <w:iCs/>
          <w:color w:val="000000"/>
          <w:sz w:val="26"/>
          <w:szCs w:val="26"/>
          <w:lang w:val="vi-VN"/>
        </w:rPr>
        <w:t xml:space="preserve"> </w:t>
      </w:r>
      <w:r w:rsidRPr="00B87971">
        <w:rPr>
          <w:rFonts w:ascii="Times New Roman" w:hAnsi="Times New Roman" w:cs="Times New Roman"/>
          <w:iCs/>
          <w:color w:val="000000"/>
          <w:sz w:val="26"/>
          <w:szCs w:val="26"/>
          <w:lang w:val="vi-VN"/>
        </w:rPr>
        <w:t xml:space="preserve">vì có thể chuyển thông tin khách hàng của công ty này </w:t>
      </w:r>
      <w:r w:rsidRPr="00B87971">
        <w:rPr>
          <w:rFonts w:ascii="Times New Roman" w:hAnsi="Times New Roman" w:cs="Times New Roman"/>
          <w:sz w:val="26"/>
          <w:szCs w:val="26"/>
          <w:lang w:val="vi-VN"/>
        </w:rPr>
        <w:t xml:space="preserve">sang công ty mới. </w:t>
      </w:r>
    </w:p>
    <w:p w14:paraId="1EB12B10" w14:textId="00A0C7F8" w:rsidR="003F7193" w:rsidRPr="00B87971" w:rsidRDefault="003F7193"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Tuy nhiên, trong vụ việc đối với công ty </w:t>
      </w:r>
      <w:r w:rsidRPr="00B87971">
        <w:rPr>
          <w:rFonts w:ascii="Times New Roman" w:hAnsi="Times New Roman" w:cs="Times New Roman"/>
          <w:i/>
          <w:iCs/>
          <w:color w:val="000000"/>
          <w:sz w:val="26"/>
          <w:szCs w:val="26"/>
          <w:lang w:val="vi-VN"/>
        </w:rPr>
        <w:t xml:space="preserve">Tokyo Kamotsusha </w:t>
      </w:r>
      <w:r w:rsidRPr="00B87971">
        <w:rPr>
          <w:rFonts w:ascii="Times New Roman" w:hAnsi="Times New Roman" w:cs="Times New Roman"/>
          <w:iCs/>
          <w:color w:val="000000"/>
          <w:sz w:val="26"/>
          <w:szCs w:val="26"/>
          <w:lang w:val="vi-VN"/>
        </w:rPr>
        <w:t>(1997),</w:t>
      </w:r>
      <w:r w:rsidRPr="00B87971">
        <w:rPr>
          <w:rFonts w:ascii="Times New Roman" w:hAnsi="Times New Roman" w:cs="Times New Roman"/>
          <w:i/>
          <w:iCs/>
          <w:color w:val="000000"/>
          <w:sz w:val="26"/>
          <w:szCs w:val="26"/>
          <w:lang w:val="vi-VN"/>
        </w:rPr>
        <w:t xml:space="preserve"> </w:t>
      </w:r>
      <w:r w:rsidRPr="00B87971">
        <w:rPr>
          <w:rFonts w:ascii="Times New Roman" w:hAnsi="Times New Roman" w:cs="Times New Roman"/>
          <w:iCs/>
          <w:color w:val="000000"/>
          <w:sz w:val="26"/>
          <w:szCs w:val="26"/>
          <w:lang w:val="vi-VN"/>
        </w:rPr>
        <w:t xml:space="preserve">Tòa án Nhật Bản đã tuyên bố </w:t>
      </w:r>
      <w:r w:rsidRPr="00B87971">
        <w:rPr>
          <w:rFonts w:ascii="Times New Roman" w:hAnsi="Times New Roman" w:cs="Times New Roman"/>
          <w:sz w:val="26"/>
          <w:szCs w:val="26"/>
          <w:lang w:val="vi-VN"/>
        </w:rPr>
        <w:t>điều khoản này vô hiệu vì cho rằng, công ty cấm người lao động làm việc cho đối thủ trong ba năm sau khi nghỉ việc là không cần thiết. Và điều đặc biệt, người lao động của công ty trước đó không hề nhận được khoản bù cho khoảng thời gian ba năm không làm việc này. Hay nói cách khác, việc cân đối khoản tiền lương mà người sử dụng lao động đã trả cho người lao động trong thời gian làm việc là một trong những mắc xích quan trọng</w:t>
      </w:r>
      <w:r w:rsidR="00A24FEE" w:rsidRPr="00B87971">
        <w:rPr>
          <w:rStyle w:val="FootnoteReference"/>
          <w:rFonts w:ascii="Times New Roman" w:hAnsi="Times New Roman" w:cs="Times New Roman"/>
          <w:sz w:val="26"/>
          <w:szCs w:val="26"/>
        </w:rPr>
        <w:footnoteReference w:id="17"/>
      </w:r>
      <w:r w:rsidRPr="00B87971">
        <w:rPr>
          <w:rFonts w:ascii="Times New Roman" w:hAnsi="Times New Roman" w:cs="Times New Roman"/>
          <w:sz w:val="26"/>
          <w:szCs w:val="26"/>
          <w:lang w:val="vi-VN"/>
        </w:rPr>
        <w:t xml:space="preserve">. </w:t>
      </w:r>
    </w:p>
    <w:p w14:paraId="3A6A795F" w14:textId="4536C699" w:rsidR="002A67CA" w:rsidRPr="00B87971" w:rsidRDefault="003F7193" w:rsidP="00F33E92">
      <w:pPr>
        <w:adjustRightInd w:val="0"/>
        <w:snapToGrid w:val="0"/>
        <w:spacing w:after="120" w:line="240" w:lineRule="auto"/>
        <w:ind w:firstLine="540"/>
        <w:jc w:val="both"/>
        <w:rPr>
          <w:rFonts w:ascii="Times New Roman" w:hAnsi="Times New Roman" w:cs="Times New Roman"/>
          <w:sz w:val="26"/>
          <w:szCs w:val="26"/>
          <w:lang w:val="vi-VN"/>
        </w:rPr>
      </w:pPr>
      <w:r w:rsidRPr="00B87971">
        <w:rPr>
          <w:rFonts w:ascii="Times New Roman" w:hAnsi="Times New Roman" w:cs="Times New Roman"/>
          <w:sz w:val="26"/>
          <w:szCs w:val="26"/>
          <w:lang w:val="vi-VN"/>
        </w:rPr>
        <w:t xml:space="preserve">Thực ra, cách tiếp cận về tính hợp lý của điều khoản như vậy là mô hình phổ biến, và được sử dụng ở hầu hết các nước. Thậm chí, nhiều nước còn có lịch sử sử dụng lâu đời hơn, như Pháp, Đức, Anh, Canada và hầu hết các bang của Hoa Kỳ. </w:t>
      </w:r>
      <w:r w:rsidR="002A67CA" w:rsidRPr="00B87971">
        <w:rPr>
          <w:rFonts w:ascii="Times New Roman" w:hAnsi="Times New Roman" w:cs="Times New Roman"/>
          <w:sz w:val="26"/>
          <w:szCs w:val="26"/>
          <w:lang w:val="vi-VN"/>
        </w:rPr>
        <w:t>Các quốc gia khác, dù có thể gộp hay tách nhỏ tiêu chí thì chung quy lại vẫn nhằm chứng m</w:t>
      </w:r>
      <w:proofErr w:type="spellStart"/>
      <w:r w:rsidR="0031246C" w:rsidRPr="00B87971">
        <w:rPr>
          <w:rFonts w:ascii="Times New Roman" w:hAnsi="Times New Roman" w:cs="Times New Roman"/>
          <w:sz w:val="26"/>
          <w:szCs w:val="26"/>
        </w:rPr>
        <w:t>i</w:t>
      </w:r>
      <w:proofErr w:type="spellEnd"/>
      <w:r w:rsidR="002A67CA" w:rsidRPr="00B87971">
        <w:rPr>
          <w:rFonts w:ascii="Times New Roman" w:hAnsi="Times New Roman" w:cs="Times New Roman"/>
          <w:sz w:val="26"/>
          <w:szCs w:val="26"/>
          <w:lang w:val="vi-VN"/>
        </w:rPr>
        <w:t xml:space="preserve">nh tính hợp lý trong cân bằng lợi ích giữa các bên. </w:t>
      </w:r>
      <w:r w:rsidRPr="00B87971">
        <w:rPr>
          <w:rFonts w:ascii="Times New Roman" w:hAnsi="Times New Roman" w:cs="Times New Roman"/>
          <w:sz w:val="26"/>
          <w:szCs w:val="26"/>
          <w:lang w:val="vi-VN"/>
        </w:rPr>
        <w:t>Cũng cần phải nói thêm, bên cạnh việc cân bằng lợi ích của bên sử dụng lao động (như bí mật kinh doanh) và cơ hội làm việc của người lao động, vấn đề lợi ích chung (public interests/pub</w:t>
      </w:r>
      <w:r w:rsidR="0031246C" w:rsidRPr="00B87971">
        <w:rPr>
          <w:rFonts w:ascii="Times New Roman" w:hAnsi="Times New Roman" w:cs="Times New Roman"/>
          <w:sz w:val="26"/>
          <w:szCs w:val="26"/>
        </w:rPr>
        <w:t>l</w:t>
      </w:r>
      <w:r w:rsidRPr="00B87971">
        <w:rPr>
          <w:rFonts w:ascii="Times New Roman" w:hAnsi="Times New Roman" w:cs="Times New Roman"/>
          <w:sz w:val="26"/>
          <w:szCs w:val="26"/>
          <w:lang w:val="vi-VN"/>
        </w:rPr>
        <w:t xml:space="preserve">ic polies) luôn được pháp luật các nước quan tâm khi xem xét tính hợp lý của nội dung giới hạn. Ví dụ như khả năng xảy ra tình trạng độc quyền hay tình trạng người tiêu dùng bị tước bỏ cơ hội lựa chọn và tiếp cận sản phẩm, dịch vụ. Thực tế, </w:t>
      </w:r>
      <w:r w:rsidR="002A67CA" w:rsidRPr="00B87971">
        <w:rPr>
          <w:rFonts w:ascii="Times New Roman" w:hAnsi="Times New Roman" w:cs="Times New Roman"/>
          <w:sz w:val="26"/>
          <w:szCs w:val="26"/>
          <w:lang w:val="vi-VN"/>
        </w:rPr>
        <w:t>với căn cứ này</w:t>
      </w:r>
      <w:r w:rsidR="0031246C" w:rsidRPr="00B87971">
        <w:rPr>
          <w:rFonts w:ascii="Times New Roman" w:hAnsi="Times New Roman" w:cs="Times New Roman"/>
          <w:sz w:val="26"/>
          <w:szCs w:val="26"/>
        </w:rPr>
        <w:t>,</w:t>
      </w:r>
      <w:r w:rsidR="002A67CA" w:rsidRPr="00B87971">
        <w:rPr>
          <w:rFonts w:ascii="Times New Roman" w:hAnsi="Times New Roman" w:cs="Times New Roman"/>
          <w:sz w:val="26"/>
          <w:szCs w:val="26"/>
          <w:lang w:val="vi-VN"/>
        </w:rPr>
        <w:t xml:space="preserve"> </w:t>
      </w:r>
      <w:r w:rsidRPr="00B87971">
        <w:rPr>
          <w:rFonts w:ascii="Times New Roman" w:hAnsi="Times New Roman" w:cs="Times New Roman"/>
          <w:sz w:val="26"/>
          <w:szCs w:val="26"/>
          <w:lang w:val="vi-VN"/>
        </w:rPr>
        <w:t xml:space="preserve">tòa án </w:t>
      </w:r>
      <w:r w:rsidR="002A67CA" w:rsidRPr="00B87971">
        <w:rPr>
          <w:rFonts w:ascii="Times New Roman" w:hAnsi="Times New Roman" w:cs="Times New Roman"/>
          <w:sz w:val="26"/>
          <w:szCs w:val="26"/>
          <w:lang w:val="vi-VN"/>
        </w:rPr>
        <w:t>một nước có thể</w:t>
      </w:r>
      <w:r w:rsidRPr="00B87971">
        <w:rPr>
          <w:rFonts w:ascii="Times New Roman" w:hAnsi="Times New Roman" w:cs="Times New Roman"/>
          <w:sz w:val="26"/>
          <w:szCs w:val="26"/>
          <w:lang w:val="vi-VN"/>
        </w:rPr>
        <w:t xml:space="preserve"> phủ nhận điều khoản không cho phép một bác sĩ đã nghỉ việc từ một phòng mạch mở một phòng mạch mới khi dân chúng trong phạm vi khu vực đó rất đông và nhu cầu về về dịch vụ y tế là rất lớn. </w:t>
      </w:r>
      <w:r w:rsidR="002A67CA" w:rsidRPr="00B87971">
        <w:rPr>
          <w:rFonts w:ascii="Times New Roman" w:hAnsi="Times New Roman" w:cs="Times New Roman"/>
          <w:sz w:val="26"/>
          <w:szCs w:val="26"/>
          <w:lang w:val="vi-VN"/>
        </w:rPr>
        <w:t xml:space="preserve">Thậm chí, Tòa có thể cho phép </w:t>
      </w:r>
      <w:proofErr w:type="spellStart"/>
      <w:r w:rsidR="0031246C" w:rsidRPr="00B87971">
        <w:rPr>
          <w:rFonts w:ascii="Times New Roman" w:hAnsi="Times New Roman" w:cs="Times New Roman"/>
          <w:sz w:val="26"/>
          <w:szCs w:val="26"/>
        </w:rPr>
        <w:t>bác</w:t>
      </w:r>
      <w:proofErr w:type="spellEnd"/>
      <w:r w:rsidR="0031246C" w:rsidRPr="00B87971">
        <w:rPr>
          <w:rFonts w:ascii="Times New Roman" w:hAnsi="Times New Roman" w:cs="Times New Roman"/>
          <w:sz w:val="26"/>
          <w:szCs w:val="26"/>
        </w:rPr>
        <w:t xml:space="preserve"> </w:t>
      </w:r>
      <w:proofErr w:type="spellStart"/>
      <w:r w:rsidR="0031246C" w:rsidRPr="00B87971">
        <w:rPr>
          <w:rFonts w:ascii="Times New Roman" w:hAnsi="Times New Roman" w:cs="Times New Roman"/>
          <w:sz w:val="26"/>
          <w:szCs w:val="26"/>
        </w:rPr>
        <w:t>sĩ</w:t>
      </w:r>
      <w:proofErr w:type="spellEnd"/>
      <w:r w:rsidR="0031246C" w:rsidRPr="00B87971">
        <w:rPr>
          <w:rFonts w:ascii="Times New Roman" w:hAnsi="Times New Roman" w:cs="Times New Roman"/>
          <w:sz w:val="26"/>
          <w:szCs w:val="26"/>
        </w:rPr>
        <w:t xml:space="preserve"> </w:t>
      </w:r>
      <w:proofErr w:type="spellStart"/>
      <w:r w:rsidR="0031246C" w:rsidRPr="00B87971">
        <w:rPr>
          <w:rFonts w:ascii="Times New Roman" w:hAnsi="Times New Roman" w:cs="Times New Roman"/>
          <w:sz w:val="26"/>
          <w:szCs w:val="26"/>
        </w:rPr>
        <w:t>đó</w:t>
      </w:r>
      <w:proofErr w:type="spellEnd"/>
      <w:r w:rsidR="0031246C" w:rsidRPr="00B87971">
        <w:rPr>
          <w:rFonts w:ascii="Times New Roman" w:hAnsi="Times New Roman" w:cs="Times New Roman"/>
          <w:sz w:val="26"/>
          <w:szCs w:val="26"/>
        </w:rPr>
        <w:t xml:space="preserve"> </w:t>
      </w:r>
      <w:r w:rsidR="002A67CA" w:rsidRPr="00B87971">
        <w:rPr>
          <w:rFonts w:ascii="Times New Roman" w:hAnsi="Times New Roman" w:cs="Times New Roman"/>
          <w:sz w:val="26"/>
          <w:szCs w:val="26"/>
          <w:lang w:val="vi-VN"/>
        </w:rPr>
        <w:t>làm việc trong một bệnh viện mới để đảm bảo việc tiếp cận dịch vụ chăm sóc sức khỏe của người dân.</w:t>
      </w:r>
      <w:r w:rsidR="0065093A" w:rsidRPr="00B87971">
        <w:rPr>
          <w:rStyle w:val="FootnoteReference"/>
          <w:rFonts w:ascii="Times New Roman" w:hAnsi="Times New Roman" w:cs="Times New Roman"/>
          <w:sz w:val="26"/>
          <w:szCs w:val="26"/>
          <w:lang w:val="vi-VN"/>
        </w:rPr>
        <w:footnoteReference w:id="18"/>
      </w:r>
      <w:r w:rsidR="002A67CA" w:rsidRPr="00B87971">
        <w:rPr>
          <w:rFonts w:ascii="Times New Roman" w:hAnsi="Times New Roman" w:cs="Times New Roman"/>
          <w:sz w:val="26"/>
          <w:szCs w:val="26"/>
          <w:lang w:val="vi-VN"/>
        </w:rPr>
        <w:t xml:space="preserve"> </w:t>
      </w:r>
    </w:p>
    <w:p w14:paraId="29339D82" w14:textId="52AD5811" w:rsidR="00193B89" w:rsidRPr="00B87971" w:rsidRDefault="00193B89" w:rsidP="00F33E92">
      <w:pPr>
        <w:adjustRightInd w:val="0"/>
        <w:snapToGrid w:val="0"/>
        <w:spacing w:after="120" w:line="240" w:lineRule="auto"/>
        <w:ind w:firstLine="540"/>
        <w:jc w:val="both"/>
        <w:rPr>
          <w:rFonts w:ascii="Times New Roman" w:hAnsi="Times New Roman" w:cs="Times New Roman"/>
          <w:iCs/>
          <w:color w:val="000000"/>
          <w:sz w:val="26"/>
          <w:szCs w:val="26"/>
          <w:lang w:val="vi-VN"/>
        </w:rPr>
      </w:pPr>
      <w:r w:rsidRPr="00B87971">
        <w:rPr>
          <w:rFonts w:ascii="Times New Roman" w:hAnsi="Times New Roman" w:cs="Times New Roman"/>
          <w:color w:val="000000"/>
          <w:sz w:val="26"/>
          <w:szCs w:val="26"/>
          <w:shd w:val="clear" w:color="auto" w:fill="FFFFFF"/>
          <w:lang w:val="vi-VN"/>
        </w:rPr>
        <w:lastRenderedPageBreak/>
        <w:t>Vụ tranh chấp L</w:t>
      </w:r>
      <w:r w:rsidRPr="00B87971">
        <w:rPr>
          <w:rFonts w:ascii="Times New Roman" w:hAnsi="Times New Roman" w:cs="Times New Roman"/>
          <w:i/>
          <w:iCs/>
          <w:color w:val="000000"/>
          <w:sz w:val="26"/>
          <w:szCs w:val="26"/>
          <w:lang w:val="vi-VN"/>
        </w:rPr>
        <w:t xml:space="preserve">yons v. Multari </w:t>
      </w:r>
      <w:r w:rsidRPr="00B87971">
        <w:rPr>
          <w:rFonts w:ascii="Times New Roman" w:hAnsi="Times New Roman" w:cs="Times New Roman"/>
          <w:iCs/>
          <w:color w:val="000000"/>
          <w:sz w:val="26"/>
          <w:szCs w:val="26"/>
          <w:lang w:val="vi-VN"/>
        </w:rPr>
        <w:t>xảy ra ở Canada vào năm 2000 là một điển hình</w:t>
      </w:r>
      <w:r w:rsidR="00A24FEE" w:rsidRPr="00B87971">
        <w:rPr>
          <w:rStyle w:val="FootnoteReference"/>
          <w:rFonts w:ascii="Times New Roman" w:hAnsi="Times New Roman" w:cs="Times New Roman"/>
          <w:sz w:val="26"/>
          <w:szCs w:val="26"/>
        </w:rPr>
        <w:footnoteReference w:id="19"/>
      </w:r>
      <w:r w:rsidRPr="00B87971">
        <w:rPr>
          <w:rFonts w:ascii="Times New Roman" w:hAnsi="Times New Roman" w:cs="Times New Roman"/>
          <w:iCs/>
          <w:color w:val="000000"/>
          <w:sz w:val="26"/>
          <w:szCs w:val="26"/>
          <w:lang w:val="vi-VN"/>
        </w:rPr>
        <w:t xml:space="preserve">. Theo đó, Lyons là một chuyên gia </w:t>
      </w:r>
      <w:proofErr w:type="spellStart"/>
      <w:r w:rsidR="008A097F" w:rsidRPr="00B87971">
        <w:rPr>
          <w:rFonts w:ascii="Times New Roman" w:hAnsi="Times New Roman" w:cs="Times New Roman"/>
          <w:iCs/>
          <w:color w:val="000000"/>
          <w:sz w:val="26"/>
          <w:szCs w:val="26"/>
        </w:rPr>
        <w:t>thẩm</w:t>
      </w:r>
      <w:proofErr w:type="spellEnd"/>
      <w:r w:rsidR="008A097F" w:rsidRPr="00B87971">
        <w:rPr>
          <w:rFonts w:ascii="Times New Roman" w:hAnsi="Times New Roman" w:cs="Times New Roman"/>
          <w:iCs/>
          <w:color w:val="000000"/>
          <w:sz w:val="26"/>
          <w:szCs w:val="26"/>
        </w:rPr>
        <w:t xml:space="preserve"> </w:t>
      </w:r>
      <w:r w:rsidRPr="00B87971">
        <w:rPr>
          <w:rFonts w:ascii="Times New Roman" w:hAnsi="Times New Roman" w:cs="Times New Roman"/>
          <w:iCs/>
          <w:color w:val="000000"/>
          <w:sz w:val="26"/>
          <w:szCs w:val="26"/>
          <w:lang w:val="vi-VN"/>
        </w:rPr>
        <w:t xml:space="preserve">mỹ đã hoạt động nghề ở Windsor khoảng 25 năm và đang tìm kiếm đối tác mới. Multari vừa hoàn thành khóa đào tạo đã đồng ý hợp tác với Lyons. Hợp đồng ký tay chưa tới một trang có chứa nội dung cam kết ngắn về không cạnh tranh: “Không cạnh tranh: 3 năm – 5 dặm”. Sau 17 tháng làm việc, Multari thông báo trước 6 tháng theo hợp đồng và nghỉ việc. Ngay sau đó, Multari mở phòng mạch cách phòng mạch của Lyons 3,7 dặm. Lyons không tranh chấp về hoạt động cạnh tranh hay vi phạm hợp đồng của Multari mà đòi Multari bồi thường thiệt hại. Multari phản đối yêu cầu này. </w:t>
      </w:r>
    </w:p>
    <w:p w14:paraId="3C2E4052" w14:textId="1C2A0098" w:rsidR="00193B89" w:rsidRPr="00B87971" w:rsidRDefault="00193B89" w:rsidP="00F33E92">
      <w:pPr>
        <w:adjustRightInd w:val="0"/>
        <w:snapToGrid w:val="0"/>
        <w:spacing w:after="120" w:line="240" w:lineRule="auto"/>
        <w:ind w:firstLine="540"/>
        <w:jc w:val="both"/>
        <w:rPr>
          <w:rFonts w:ascii="Times New Roman" w:hAnsi="Times New Roman" w:cs="Times New Roman"/>
          <w:iCs/>
          <w:color w:val="000000"/>
          <w:sz w:val="26"/>
          <w:szCs w:val="26"/>
          <w:lang w:val="vi-VN"/>
        </w:rPr>
      </w:pPr>
      <w:r w:rsidRPr="00B87971">
        <w:rPr>
          <w:rFonts w:ascii="Times New Roman" w:hAnsi="Times New Roman" w:cs="Times New Roman"/>
          <w:iCs/>
          <w:color w:val="000000"/>
          <w:sz w:val="26"/>
          <w:szCs w:val="26"/>
          <w:lang w:val="vi-VN"/>
        </w:rPr>
        <w:t xml:space="preserve">Tòa phúc thẩm Ontario thụ lý vụ việc đã nhận định rằng, về nguyên tắc chung điều khoản không cạnh tranh trong </w:t>
      </w:r>
      <w:r w:rsidR="000304A7" w:rsidRPr="00B87971">
        <w:rPr>
          <w:rFonts w:ascii="Times New Roman" w:hAnsi="Times New Roman" w:cs="Times New Roman"/>
          <w:iCs/>
          <w:color w:val="000000"/>
          <w:sz w:val="26"/>
          <w:szCs w:val="26"/>
          <w:lang w:val="vi-VN"/>
        </w:rPr>
        <w:t>HĐLĐ</w:t>
      </w:r>
      <w:r w:rsidRPr="00B87971">
        <w:rPr>
          <w:rFonts w:ascii="Times New Roman" w:hAnsi="Times New Roman" w:cs="Times New Roman"/>
          <w:iCs/>
          <w:color w:val="000000"/>
          <w:sz w:val="26"/>
          <w:szCs w:val="26"/>
          <w:lang w:val="vi-VN"/>
        </w:rPr>
        <w:t xml:space="preserve"> thường được chấp nhận, nhưng chỉ có giá trị thực thi trong những trường hợp ngoại lệ hạn hữu. Bởi lẽ, điều khoản này có thể được xem là “vũ khí lợi hại hơn nhiều” so với các biện pháp bảo vệ khác của người sử dụng lao động, và vì vậy “</w:t>
      </w:r>
      <w:r w:rsidR="00C36AB7" w:rsidRPr="00B87971">
        <w:rPr>
          <w:rFonts w:ascii="Times New Roman" w:hAnsi="Times New Roman" w:cs="Times New Roman"/>
          <w:iCs/>
          <w:color w:val="000000"/>
          <w:sz w:val="26"/>
          <w:szCs w:val="26"/>
          <w:lang w:val="vi-VN"/>
        </w:rPr>
        <w:t>mục đích chính</w:t>
      </w:r>
      <w:r w:rsidRPr="00B87971">
        <w:rPr>
          <w:rFonts w:ascii="Times New Roman" w:hAnsi="Times New Roman" w:cs="Times New Roman"/>
          <w:iCs/>
          <w:color w:val="000000"/>
          <w:sz w:val="26"/>
          <w:szCs w:val="26"/>
          <w:lang w:val="vi-VN"/>
        </w:rPr>
        <w:t xml:space="preserve"> yếu của nó lớn hơn nhiều so với nỗ lực bảo vệ đối tác hoặc hệ thống khách hàng của người sử dụng lao động, và thường có xu hướng gia tăng nỗ lực kiềm giữ người lao động trước đó ra khỏi các hoạt động kinh doanh”</w:t>
      </w:r>
      <w:r w:rsidR="00C36AB7" w:rsidRPr="00B87971">
        <w:rPr>
          <w:rStyle w:val="FootnoteReference"/>
          <w:rFonts w:ascii="Times New Roman" w:hAnsi="Times New Roman" w:cs="Times New Roman"/>
          <w:sz w:val="26"/>
          <w:szCs w:val="26"/>
        </w:rPr>
        <w:footnoteReference w:id="20"/>
      </w:r>
      <w:r w:rsidRPr="00B87971">
        <w:rPr>
          <w:rFonts w:ascii="Times New Roman" w:hAnsi="Times New Roman" w:cs="Times New Roman"/>
          <w:iCs/>
          <w:color w:val="000000"/>
          <w:sz w:val="26"/>
          <w:szCs w:val="26"/>
          <w:lang w:val="vi-VN"/>
        </w:rPr>
        <w:t xml:space="preserve">. Cho nên, để xem xét tính hợp lý của yêu cầu này, Tòa Ontario dựa vào ba căn cứ: (i) Người sử dụng lao động phải có lợi ích riêng biệt cần được bảo vệ, (ii) đòi hỏi về không gian và thời gian của điều khoản không quá lớn và (iii) bản chất hoạt động kinh doanh của người sử dụng lao động cần phải được bảo vệ bởi điều khoản không cạnh tranh. Cuối cùng, Tòa cho rằng, nội dung thỏa thuận trong </w:t>
      </w:r>
      <w:r w:rsidR="000304A7" w:rsidRPr="00B87971">
        <w:rPr>
          <w:rFonts w:ascii="Times New Roman" w:hAnsi="Times New Roman" w:cs="Times New Roman"/>
          <w:iCs/>
          <w:color w:val="000000"/>
          <w:sz w:val="26"/>
          <w:szCs w:val="26"/>
          <w:lang w:val="vi-VN"/>
        </w:rPr>
        <w:t>HĐLĐ</w:t>
      </w:r>
      <w:r w:rsidRPr="00B87971">
        <w:rPr>
          <w:rFonts w:ascii="Times New Roman" w:hAnsi="Times New Roman" w:cs="Times New Roman"/>
          <w:iCs/>
          <w:color w:val="000000"/>
          <w:sz w:val="26"/>
          <w:szCs w:val="26"/>
          <w:lang w:val="vi-VN"/>
        </w:rPr>
        <w:t xml:space="preserve"> của Multari không đáp ứng yêu cầu thứ ba. </w:t>
      </w:r>
    </w:p>
    <w:p w14:paraId="4C03C85A" w14:textId="08DA779C" w:rsidR="00193B89" w:rsidRPr="00B87971" w:rsidRDefault="00193B89" w:rsidP="00F33E92">
      <w:pPr>
        <w:adjustRightInd w:val="0"/>
        <w:snapToGrid w:val="0"/>
        <w:spacing w:after="120" w:line="240" w:lineRule="auto"/>
        <w:ind w:firstLine="540"/>
        <w:jc w:val="both"/>
        <w:rPr>
          <w:rFonts w:ascii="Times New Roman" w:hAnsi="Times New Roman" w:cs="Times New Roman"/>
          <w:iCs/>
          <w:color w:val="000000"/>
          <w:sz w:val="26"/>
          <w:szCs w:val="26"/>
          <w:lang w:val="vi-VN"/>
        </w:rPr>
      </w:pPr>
      <w:r w:rsidRPr="00B87971">
        <w:rPr>
          <w:rFonts w:ascii="Times New Roman" w:hAnsi="Times New Roman" w:cs="Times New Roman"/>
          <w:iCs/>
          <w:color w:val="000000"/>
          <w:sz w:val="26"/>
          <w:szCs w:val="26"/>
          <w:lang w:val="vi-VN"/>
        </w:rPr>
        <w:t xml:space="preserve">Cụ thể, Lyons chỉ có lợi ích của riêng mình đối với một vài phòng mạch có gửi bệnh nhân qua cho ông ta, và ngược lại ông ta không hề có lợi ích trước những phòng mạch ở Windsor là những nơi đã không gửi hoặc dừng lại việc gửi bệnh nhân cho ông ta trước khi Multari xuất hiện. Theo Tòa, việc tạo lập một thỏa thuận không cạnh tranh trong vòng ba năm với biên độ 5 dặm không là vấn đề gì. Vấn đề ở chỗ là thỏa thuận đó vượt ra ngoài sự cần thiết phải ngăn cấm Multari xúi giục hoặc lôi kéo bệnh nhân của Lyons. Có nghĩa, đây chính là “tăng cường nỗ lực để kiềm giữu Multari tiến hành các hoạt động kinh doanh trong một khu vực và thời gian cụ thể”. Đặc biệt, Multari với tuổi nghề thấp, mới chỉ hoạt động ở Lyons trong khoảng thời gian ngắn, khó cạnh tranh nổi với Lyons. Hay nói cách khác, Lyons vẫn là cơ sở thống trị và có sự hút lớn, và vì vậy vẫn tiếp tục giữ vai trò chủ động trong cung cấp dịch vụ thẩm mỹ ở vùng này. Ngoài ra, Tòa cũng nhận định thêm, Multari trong thời gian làm việc tại Lyons không hề đảm nhận vị trí gì đặc biệt vì vậy ông ta không tiếp cận được với các thông thi kinh doanh độc lập và bí mật của Lyons nên việc dựa vào điều khảo về nghĩa vụ bảo mật để áp dụng điều khoản không cạnh tranh sẽ không phù hợp. </w:t>
      </w:r>
    </w:p>
    <w:p w14:paraId="0B16C23F" w14:textId="49E25337" w:rsidR="003F7193" w:rsidRPr="00B87971" w:rsidRDefault="00193B89" w:rsidP="00F33E92">
      <w:pPr>
        <w:adjustRightInd w:val="0"/>
        <w:snapToGrid w:val="0"/>
        <w:spacing w:after="120" w:line="240" w:lineRule="auto"/>
        <w:ind w:firstLine="540"/>
        <w:jc w:val="both"/>
        <w:rPr>
          <w:rFonts w:ascii="Times New Roman" w:hAnsi="Times New Roman" w:cs="Times New Roman"/>
          <w:iCs/>
          <w:color w:val="000000"/>
          <w:sz w:val="26"/>
          <w:szCs w:val="26"/>
          <w:lang w:val="vi-VN"/>
        </w:rPr>
      </w:pPr>
      <w:r w:rsidRPr="00B87971">
        <w:rPr>
          <w:rFonts w:ascii="Times New Roman" w:hAnsi="Times New Roman" w:cs="Times New Roman"/>
          <w:iCs/>
          <w:color w:val="000000"/>
          <w:sz w:val="26"/>
          <w:szCs w:val="26"/>
          <w:lang w:val="vi-VN"/>
        </w:rPr>
        <w:lastRenderedPageBreak/>
        <w:t xml:space="preserve">Thú vị hơn, </w:t>
      </w:r>
      <w:r w:rsidRPr="00B87971">
        <w:rPr>
          <w:rFonts w:ascii="Times New Roman" w:hAnsi="Times New Roman" w:cs="Times New Roman"/>
          <w:sz w:val="26"/>
          <w:szCs w:val="26"/>
          <w:lang w:val="vi-VN"/>
        </w:rPr>
        <w:t>t</w:t>
      </w:r>
      <w:r w:rsidR="002A67CA" w:rsidRPr="00B87971">
        <w:rPr>
          <w:rFonts w:ascii="Times New Roman" w:hAnsi="Times New Roman" w:cs="Times New Roman"/>
          <w:sz w:val="26"/>
          <w:szCs w:val="26"/>
          <w:lang w:val="vi-VN"/>
        </w:rPr>
        <w:t>rong</w:t>
      </w:r>
      <w:r w:rsidR="003F7193" w:rsidRPr="00B87971">
        <w:rPr>
          <w:rFonts w:ascii="Times New Roman" w:hAnsi="Times New Roman" w:cs="Times New Roman"/>
          <w:sz w:val="26"/>
          <w:szCs w:val="26"/>
          <w:lang w:val="vi-VN"/>
        </w:rPr>
        <w:t xml:space="preserve"> vụ việc tranh chấp giữa </w:t>
      </w:r>
      <w:r w:rsidR="003F7193" w:rsidRPr="00B87971">
        <w:rPr>
          <w:rFonts w:ascii="Times New Roman" w:hAnsi="Times New Roman" w:cs="Times New Roman"/>
          <w:i/>
          <w:color w:val="000000"/>
          <w:sz w:val="26"/>
          <w:szCs w:val="26"/>
          <w:shd w:val="clear" w:color="auto" w:fill="FFFFFF"/>
          <w:lang w:val="vi-VN"/>
        </w:rPr>
        <w:t xml:space="preserve">Valley Medical Specialists (VMS) </w:t>
      </w:r>
      <w:r w:rsidR="003F7193" w:rsidRPr="00B87971">
        <w:rPr>
          <w:rFonts w:ascii="Times New Roman" w:hAnsi="Times New Roman" w:cs="Times New Roman"/>
          <w:color w:val="000000"/>
          <w:sz w:val="26"/>
          <w:szCs w:val="26"/>
          <w:shd w:val="clear" w:color="auto" w:fill="FFFFFF"/>
          <w:lang w:val="vi-VN"/>
        </w:rPr>
        <w:t xml:space="preserve">và </w:t>
      </w:r>
      <w:bookmarkStart w:id="5" w:name="OLE_LINK1"/>
      <w:bookmarkStart w:id="6" w:name="OLE_LINK2"/>
      <w:r w:rsidR="003F7193" w:rsidRPr="00B87971">
        <w:rPr>
          <w:rFonts w:ascii="Times New Roman" w:hAnsi="Times New Roman" w:cs="Times New Roman"/>
          <w:color w:val="000000"/>
          <w:sz w:val="26"/>
          <w:szCs w:val="26"/>
          <w:shd w:val="clear" w:color="auto" w:fill="FFFFFF"/>
          <w:lang w:val="vi-VN"/>
        </w:rPr>
        <w:t>bác sĩ</w:t>
      </w:r>
      <w:r w:rsidR="003F7193" w:rsidRPr="00B87971">
        <w:rPr>
          <w:rFonts w:ascii="Times New Roman" w:hAnsi="Times New Roman" w:cs="Times New Roman"/>
          <w:i/>
          <w:color w:val="000000"/>
          <w:sz w:val="26"/>
          <w:szCs w:val="26"/>
          <w:shd w:val="clear" w:color="auto" w:fill="FFFFFF"/>
          <w:lang w:val="vi-VN"/>
        </w:rPr>
        <w:t xml:space="preserve"> Steven S. Farber</w:t>
      </w:r>
      <w:r w:rsidR="003F7193" w:rsidRPr="00B87971">
        <w:rPr>
          <w:rFonts w:ascii="Times New Roman" w:hAnsi="Times New Roman" w:cs="Times New Roman"/>
          <w:color w:val="000000"/>
          <w:sz w:val="26"/>
          <w:szCs w:val="26"/>
          <w:shd w:val="clear" w:color="auto" w:fill="FFFFFF"/>
          <w:lang w:val="vi-VN"/>
        </w:rPr>
        <w:t xml:space="preserve"> </w:t>
      </w:r>
      <w:bookmarkEnd w:id="5"/>
      <w:bookmarkEnd w:id="6"/>
      <w:r w:rsidR="003F7193" w:rsidRPr="00B87971">
        <w:rPr>
          <w:rFonts w:ascii="Times New Roman" w:hAnsi="Times New Roman" w:cs="Times New Roman"/>
          <w:color w:val="000000"/>
          <w:sz w:val="26"/>
          <w:szCs w:val="26"/>
          <w:shd w:val="clear" w:color="auto" w:fill="FFFFFF"/>
          <w:lang w:val="vi-VN"/>
        </w:rPr>
        <w:t>vào năm 1999</w:t>
      </w:r>
      <w:r w:rsidR="00A24FEE" w:rsidRPr="00B87971">
        <w:rPr>
          <w:rStyle w:val="FootnoteReference"/>
          <w:rFonts w:ascii="Times New Roman" w:hAnsi="Times New Roman" w:cs="Times New Roman"/>
          <w:sz w:val="26"/>
          <w:szCs w:val="26"/>
        </w:rPr>
        <w:footnoteReference w:id="21"/>
      </w:r>
      <w:r w:rsidR="003F7193" w:rsidRPr="00B87971">
        <w:rPr>
          <w:rFonts w:ascii="Times New Roman" w:hAnsi="Times New Roman" w:cs="Times New Roman"/>
          <w:color w:val="000000"/>
          <w:sz w:val="26"/>
          <w:szCs w:val="26"/>
          <w:shd w:val="clear" w:color="auto" w:fill="FFFFFF"/>
          <w:lang w:val="vi-VN"/>
        </w:rPr>
        <w:t>, Tòa phúc thẩm bang Arizona (Hoa Kỳ) đã không chấp nhận giá trị pháp lý của điều khoản ngăn cấm bác sĩ làm việc cho bệnh viện khác trong vòng ba năm kể từ khi nghỉ việc mặc dù bệnh nhân có thể tìm kiếm dịch vụ y tế ở các bệnh việ</w:t>
      </w:r>
      <w:r w:rsidR="002A67CA" w:rsidRPr="00B87971">
        <w:rPr>
          <w:rFonts w:ascii="Times New Roman" w:hAnsi="Times New Roman" w:cs="Times New Roman"/>
          <w:color w:val="000000"/>
          <w:sz w:val="26"/>
          <w:szCs w:val="26"/>
          <w:shd w:val="clear" w:color="auto" w:fill="FFFFFF"/>
          <w:lang w:val="vi-VN"/>
        </w:rPr>
        <w:t xml:space="preserve">n khác. </w:t>
      </w:r>
      <w:r w:rsidR="003F7193" w:rsidRPr="00B87971">
        <w:rPr>
          <w:rFonts w:ascii="Times New Roman" w:hAnsi="Times New Roman" w:cs="Times New Roman"/>
          <w:color w:val="000000"/>
          <w:sz w:val="26"/>
          <w:szCs w:val="26"/>
          <w:shd w:val="clear" w:color="auto" w:fill="FFFFFF"/>
          <w:lang w:val="vi-VN"/>
        </w:rPr>
        <w:t>Lý do, nơi làm việc mới của bác sĩ Farber</w:t>
      </w:r>
      <w:r w:rsidR="003F7193" w:rsidRPr="00B87971">
        <w:rPr>
          <w:rFonts w:ascii="Times New Roman" w:hAnsi="Times New Roman" w:cs="Times New Roman"/>
          <w:i/>
          <w:color w:val="000000"/>
          <w:sz w:val="26"/>
          <w:szCs w:val="26"/>
          <w:shd w:val="clear" w:color="auto" w:fill="FFFFFF"/>
          <w:lang w:val="vi-VN"/>
        </w:rPr>
        <w:t xml:space="preserve"> </w:t>
      </w:r>
      <w:r w:rsidR="003F7193" w:rsidRPr="00B87971">
        <w:rPr>
          <w:rFonts w:ascii="Times New Roman" w:hAnsi="Times New Roman" w:cs="Times New Roman"/>
          <w:color w:val="000000"/>
          <w:sz w:val="26"/>
          <w:szCs w:val="26"/>
          <w:shd w:val="clear" w:color="auto" w:fill="FFFFFF"/>
          <w:lang w:val="vi-VN"/>
        </w:rPr>
        <w:t xml:space="preserve">cách VMS hơn 235 dặm và bệnh nhân từ VMS tìm đến ông ta là một điều khó có thể. Trong khi, nếu không cho phép bác sĩ </w:t>
      </w:r>
      <w:r w:rsidR="003F7193" w:rsidRPr="00B87971">
        <w:rPr>
          <w:rFonts w:ascii="Times New Roman" w:hAnsi="Times New Roman" w:cs="Times New Roman"/>
          <w:i/>
          <w:color w:val="000000"/>
          <w:sz w:val="26"/>
          <w:szCs w:val="26"/>
          <w:shd w:val="clear" w:color="auto" w:fill="FFFFFF"/>
          <w:lang w:val="vi-VN"/>
        </w:rPr>
        <w:t>Farber</w:t>
      </w:r>
      <w:r w:rsidR="003F7193" w:rsidRPr="00B87971">
        <w:rPr>
          <w:rFonts w:ascii="Times New Roman" w:hAnsi="Times New Roman" w:cs="Times New Roman"/>
          <w:color w:val="000000"/>
          <w:sz w:val="26"/>
          <w:szCs w:val="26"/>
          <w:shd w:val="clear" w:color="auto" w:fill="FFFFFF"/>
          <w:lang w:val="vi-VN"/>
        </w:rPr>
        <w:t xml:space="preserve"> làm việc thì bệnh nhân ở khu vực </w:t>
      </w:r>
      <w:bookmarkStart w:id="7" w:name="OLE_LINK3"/>
      <w:r w:rsidR="003F7193" w:rsidRPr="00B87971">
        <w:rPr>
          <w:rFonts w:ascii="Times New Roman" w:hAnsi="Times New Roman" w:cs="Times New Roman"/>
          <w:color w:val="000000"/>
          <w:sz w:val="26"/>
          <w:szCs w:val="26"/>
          <w:shd w:val="clear" w:color="auto" w:fill="FFFFFF"/>
          <w:lang w:val="vi-VN"/>
        </w:rPr>
        <w:t xml:space="preserve">đó sẽ </w:t>
      </w:r>
      <w:bookmarkEnd w:id="7"/>
      <w:r w:rsidR="003F7193" w:rsidRPr="00B87971">
        <w:rPr>
          <w:rFonts w:ascii="Times New Roman" w:hAnsi="Times New Roman" w:cs="Times New Roman"/>
          <w:color w:val="000000"/>
          <w:sz w:val="26"/>
          <w:szCs w:val="26"/>
          <w:shd w:val="clear" w:color="auto" w:fill="FFFFFF"/>
          <w:lang w:val="vi-VN"/>
        </w:rPr>
        <w:t xml:space="preserve">mất đi cơ hội tiếp cận dịch vụ chăm sóc của ông ta, cho dù họ có thể có những lựa chọn khác. Điều đáng nói là, VMS đã không chứng minh được giới hạn của điều khoản không thật sự vượt quá mức cần thiết, và lợi ích cần được bảo vệ của mình lớn hơn cả những khó khăn mà người lao động phải đối diện. </w:t>
      </w:r>
    </w:p>
    <w:p w14:paraId="1AD91C49" w14:textId="55AB1729" w:rsidR="00730B12" w:rsidRPr="00B87971" w:rsidRDefault="00730B12"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Có thể nói, đây là án lệ kinh điển về điều khoản giới hạn kinh doanh trong </w:t>
      </w:r>
      <w:r w:rsidR="000304A7" w:rsidRPr="00B87971">
        <w:rPr>
          <w:rFonts w:ascii="Times New Roman" w:hAnsi="Times New Roman" w:cs="Times New Roman"/>
          <w:color w:val="000000"/>
          <w:sz w:val="26"/>
          <w:szCs w:val="26"/>
          <w:shd w:val="clear" w:color="auto" w:fill="FFFFFF"/>
          <w:lang w:val="vi-VN"/>
        </w:rPr>
        <w:t>HĐLĐ</w:t>
      </w:r>
      <w:r w:rsidRPr="00B87971">
        <w:rPr>
          <w:rFonts w:ascii="Times New Roman" w:hAnsi="Times New Roman" w:cs="Times New Roman"/>
          <w:color w:val="000000"/>
          <w:sz w:val="26"/>
          <w:szCs w:val="26"/>
          <w:shd w:val="clear" w:color="auto" w:fill="FFFFFF"/>
          <w:lang w:val="vi-VN"/>
        </w:rPr>
        <w:t xml:space="preserve"> ở bang Arizona</w:t>
      </w:r>
      <w:r w:rsidR="001857E1" w:rsidRPr="00B87971">
        <w:rPr>
          <w:rFonts w:ascii="Times New Roman" w:hAnsi="Times New Roman" w:cs="Times New Roman"/>
          <w:color w:val="000000"/>
          <w:sz w:val="26"/>
          <w:szCs w:val="26"/>
          <w:shd w:val="clear" w:color="auto" w:fill="FFFFFF"/>
          <w:lang w:val="vi-VN"/>
        </w:rPr>
        <w:t xml:space="preserve">. Từ vụ việc này, một nguyên tắc pháp lý đã được ghi nhận là: Các thoản thuận không cạnh tranh hợp lý sẽ được thực thi nếu chúng “không vượt quá mức cần thiết để bảo vệ quyền lợi của người lao động.” Điều đó cũng có nghĩa, ở bang này trên cơ sở kết hợp với các án lệ khác sau này, một thỏa thuận không cạnh tranh trong </w:t>
      </w:r>
      <w:r w:rsidR="000304A7" w:rsidRPr="00B87971">
        <w:rPr>
          <w:rFonts w:ascii="Times New Roman" w:hAnsi="Times New Roman" w:cs="Times New Roman"/>
          <w:color w:val="000000"/>
          <w:sz w:val="26"/>
          <w:szCs w:val="26"/>
          <w:shd w:val="clear" w:color="auto" w:fill="FFFFFF"/>
          <w:lang w:val="vi-VN"/>
        </w:rPr>
        <w:t>HĐLĐ</w:t>
      </w:r>
      <w:r w:rsidR="001857E1" w:rsidRPr="00B87971">
        <w:rPr>
          <w:rFonts w:ascii="Times New Roman" w:hAnsi="Times New Roman" w:cs="Times New Roman"/>
          <w:color w:val="000000"/>
          <w:sz w:val="26"/>
          <w:szCs w:val="26"/>
          <w:shd w:val="clear" w:color="auto" w:fill="FFFFFF"/>
          <w:lang w:val="vi-VN"/>
        </w:rPr>
        <w:t xml:space="preserve"> mà theo đó người lao động không được cạnh tranh trong một khoảng thời gian và không gian hạn định sẽ có giá trị pháp lý và được bảo đảm thực thi bởi Tòa nếu sự giới hạn đó “không vượt quá mức cần thiết để bảo vệ hoạt động kinh doanh của người sử dụng lao động và cũng không giới hạn bất lợp lý quyền của người lao động cũng như chống lại chính sách công”</w:t>
      </w:r>
      <w:r w:rsidR="001857E1" w:rsidRPr="00B87971">
        <w:rPr>
          <w:rStyle w:val="FootnoteReference"/>
          <w:rFonts w:ascii="Times New Roman" w:hAnsi="Times New Roman" w:cs="Times New Roman"/>
          <w:sz w:val="26"/>
          <w:szCs w:val="26"/>
        </w:rPr>
        <w:footnoteReference w:id="22"/>
      </w:r>
      <w:r w:rsidR="001857E1" w:rsidRPr="00B87971">
        <w:rPr>
          <w:rFonts w:ascii="Times New Roman" w:hAnsi="Times New Roman" w:cs="Times New Roman"/>
          <w:color w:val="000000"/>
          <w:sz w:val="26"/>
          <w:szCs w:val="26"/>
          <w:shd w:val="clear" w:color="auto" w:fill="FFFFFF"/>
          <w:lang w:val="vi-VN"/>
        </w:rPr>
        <w:t xml:space="preserve">. </w:t>
      </w:r>
    </w:p>
    <w:p w14:paraId="2937BE03" w14:textId="149AE2A0" w:rsidR="006D54B4" w:rsidRPr="00B87971" w:rsidRDefault="008D5686"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Theo cách tiếp cận của Georgia, một bang khác của Hoa Kỳ, </w:t>
      </w:r>
      <w:r w:rsidR="009A5B76" w:rsidRPr="00B87971">
        <w:rPr>
          <w:rFonts w:ascii="Times New Roman" w:hAnsi="Times New Roman" w:cs="Times New Roman"/>
          <w:color w:val="000000"/>
          <w:sz w:val="26"/>
          <w:szCs w:val="26"/>
          <w:shd w:val="clear" w:color="auto" w:fill="FFFFFF"/>
          <w:lang w:val="vi-VN"/>
        </w:rPr>
        <w:t>việc đánh giá tính hợp lý của điều khoản không cạnh tranh dựa theo ba khí</w:t>
      </w:r>
      <w:r w:rsidR="0031246C" w:rsidRPr="00B87971">
        <w:rPr>
          <w:rFonts w:ascii="Times New Roman" w:hAnsi="Times New Roman" w:cs="Times New Roman"/>
          <w:color w:val="000000"/>
          <w:sz w:val="26"/>
          <w:szCs w:val="26"/>
          <w:shd w:val="clear" w:color="auto" w:fill="FFFFFF"/>
        </w:rPr>
        <w:t>a</w:t>
      </w:r>
      <w:r w:rsidR="009A5B76" w:rsidRPr="00B87971">
        <w:rPr>
          <w:rFonts w:ascii="Times New Roman" w:hAnsi="Times New Roman" w:cs="Times New Roman"/>
          <w:color w:val="000000"/>
          <w:sz w:val="26"/>
          <w:szCs w:val="26"/>
          <w:shd w:val="clear" w:color="auto" w:fill="FFFFFF"/>
          <w:lang w:val="vi-VN"/>
        </w:rPr>
        <w:t xml:space="preserve"> cạnh: khoảng thời gian giới hạn, phạm vi khu vực địa lý bị giới hạn, và mức độ hoạt động bị giới hạn. Đặc biệt, để xem xét các yếu tố đó, tòa án phải cân bằng giữa lợi ích cần bảo vệ của bên sử dụng lao động và tác động của điều khoản đối với người lao động</w:t>
      </w:r>
      <w:r w:rsidR="0031246C" w:rsidRPr="00B87971">
        <w:rPr>
          <w:rFonts w:ascii="Times New Roman" w:hAnsi="Times New Roman" w:cs="Times New Roman"/>
          <w:color w:val="000000"/>
          <w:sz w:val="26"/>
          <w:szCs w:val="26"/>
          <w:shd w:val="clear" w:color="auto" w:fill="FFFFFF"/>
        </w:rPr>
        <w:t>,</w:t>
      </w:r>
      <w:r w:rsidR="009A5B76" w:rsidRPr="00B87971">
        <w:rPr>
          <w:rFonts w:ascii="Times New Roman" w:hAnsi="Times New Roman" w:cs="Times New Roman"/>
          <w:color w:val="000000"/>
          <w:sz w:val="26"/>
          <w:szCs w:val="26"/>
          <w:shd w:val="clear" w:color="auto" w:fill="FFFFFF"/>
          <w:lang w:val="vi-VN"/>
        </w:rPr>
        <w:t xml:space="preserve"> cũng như luôn cân nhắc đến lợi ích công cộng theo chiều hướng là bảo đảm thúc đẩy cạnh tranh lẫn quyền tự do hợp đồng của cá nhân. Quan trọng hơn cả, việc xem xét tính hợp lý của điều khoản đặt dưới sự cân nhắc đến quyền kiếm sống của người lao động, và lợi ích của người sử dụng lao động phải là lợi ích “có thể bảo vệ được” (protectable).</w:t>
      </w:r>
      <w:r w:rsidR="009A5B76" w:rsidRPr="00B87971">
        <w:rPr>
          <w:rStyle w:val="FootnoteReference"/>
          <w:rFonts w:ascii="Times New Roman" w:hAnsi="Times New Roman" w:cs="Times New Roman"/>
          <w:sz w:val="26"/>
          <w:szCs w:val="26"/>
        </w:rPr>
        <w:footnoteReference w:id="23"/>
      </w:r>
      <w:r w:rsidR="00FC3372" w:rsidRPr="00B87971">
        <w:rPr>
          <w:rFonts w:ascii="Times New Roman" w:hAnsi="Times New Roman" w:cs="Times New Roman"/>
          <w:color w:val="000000"/>
          <w:sz w:val="26"/>
          <w:szCs w:val="26"/>
          <w:shd w:val="clear" w:color="auto" w:fill="FFFFFF"/>
          <w:lang w:val="vi-VN"/>
        </w:rPr>
        <w:t xml:space="preserve"> </w:t>
      </w:r>
    </w:p>
    <w:p w14:paraId="7B0E7F50" w14:textId="7E611AFC" w:rsidR="00D72FB9" w:rsidRPr="00B87971" w:rsidRDefault="006D54B4"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T</w:t>
      </w:r>
      <w:r w:rsidR="0031246C" w:rsidRPr="00B87971">
        <w:rPr>
          <w:rFonts w:ascii="Times New Roman" w:hAnsi="Times New Roman" w:cs="Times New Roman"/>
          <w:color w:val="000000"/>
          <w:sz w:val="26"/>
          <w:szCs w:val="26"/>
          <w:shd w:val="clear" w:color="auto" w:fill="FFFFFF"/>
        </w:rPr>
        <w:t>e</w:t>
      </w:r>
      <w:r w:rsidRPr="00B87971">
        <w:rPr>
          <w:rFonts w:ascii="Times New Roman" w:hAnsi="Times New Roman" w:cs="Times New Roman"/>
          <w:color w:val="000000"/>
          <w:sz w:val="26"/>
          <w:szCs w:val="26"/>
          <w:shd w:val="clear" w:color="auto" w:fill="FFFFFF"/>
          <w:lang w:val="vi-VN"/>
        </w:rPr>
        <w:t xml:space="preserve">xas cũng có cách tiếp cập tương tự. Nhưng thú vị là trong vụ việc xảy ra vào năm 2006, Tòa phúc thẩm của bang này tuyên bố </w:t>
      </w:r>
      <w:r w:rsidR="00EE031B" w:rsidRPr="00B87971">
        <w:rPr>
          <w:rFonts w:ascii="Times New Roman" w:hAnsi="Times New Roman" w:cs="Times New Roman"/>
          <w:color w:val="000000"/>
          <w:sz w:val="26"/>
          <w:szCs w:val="26"/>
          <w:shd w:val="clear" w:color="auto" w:fill="FFFFFF"/>
          <w:lang w:val="vi-VN"/>
        </w:rPr>
        <w:t>chấp nhận</w:t>
      </w:r>
      <w:r w:rsidRPr="00B87971">
        <w:rPr>
          <w:rFonts w:ascii="Times New Roman" w:hAnsi="Times New Roman" w:cs="Times New Roman"/>
          <w:color w:val="000000"/>
          <w:sz w:val="26"/>
          <w:szCs w:val="26"/>
          <w:shd w:val="clear" w:color="auto" w:fill="FFFFFF"/>
          <w:lang w:val="vi-VN"/>
        </w:rPr>
        <w:t xml:space="preserve"> phán quyết của tòa cấp dưới để kết luận thỏa thuận không cạnh tranh trong </w:t>
      </w:r>
      <w:r w:rsidR="000304A7" w:rsidRPr="00B87971">
        <w:rPr>
          <w:rFonts w:ascii="Times New Roman" w:hAnsi="Times New Roman" w:cs="Times New Roman"/>
          <w:color w:val="000000"/>
          <w:sz w:val="26"/>
          <w:szCs w:val="26"/>
          <w:shd w:val="clear" w:color="auto" w:fill="FFFFFF"/>
          <w:lang w:val="vi-VN"/>
        </w:rPr>
        <w:t>HĐLĐ</w:t>
      </w:r>
      <w:r w:rsidRPr="00B87971">
        <w:rPr>
          <w:rFonts w:ascii="Times New Roman" w:hAnsi="Times New Roman" w:cs="Times New Roman"/>
          <w:color w:val="000000"/>
          <w:sz w:val="26"/>
          <w:szCs w:val="26"/>
          <w:shd w:val="clear" w:color="auto" w:fill="FFFFFF"/>
          <w:lang w:val="vi-VN"/>
        </w:rPr>
        <w:t xml:space="preserve"> trong tranh chấp là có giá trị thực thi. Đó là </w:t>
      </w:r>
      <w:proofErr w:type="spellStart"/>
      <w:r w:rsidR="0031246C" w:rsidRPr="00B87971">
        <w:rPr>
          <w:rFonts w:ascii="Times New Roman" w:hAnsi="Times New Roman" w:cs="Times New Roman"/>
          <w:color w:val="000000"/>
          <w:sz w:val="26"/>
          <w:szCs w:val="26"/>
          <w:shd w:val="clear" w:color="auto" w:fill="FFFFFF"/>
        </w:rPr>
        <w:t>vụ</w:t>
      </w:r>
      <w:proofErr w:type="spellEnd"/>
      <w:r w:rsidR="0031246C" w:rsidRPr="00B87971">
        <w:rPr>
          <w:rFonts w:ascii="Times New Roman" w:hAnsi="Times New Roman" w:cs="Times New Roman"/>
          <w:color w:val="000000"/>
          <w:sz w:val="26"/>
          <w:szCs w:val="26"/>
          <w:shd w:val="clear" w:color="auto" w:fill="FFFFFF"/>
        </w:rPr>
        <w:t xml:space="preserve"> </w:t>
      </w:r>
      <w:r w:rsidRPr="00B87971">
        <w:rPr>
          <w:rFonts w:ascii="Times New Roman" w:hAnsi="Times New Roman" w:cs="Times New Roman"/>
          <w:color w:val="000000"/>
          <w:sz w:val="26"/>
          <w:szCs w:val="26"/>
          <w:shd w:val="clear" w:color="auto" w:fill="FFFFFF"/>
          <w:lang w:val="vi-VN"/>
        </w:rPr>
        <w:t xml:space="preserve">tranh chấp </w:t>
      </w:r>
      <w:r w:rsidRPr="00B87971">
        <w:rPr>
          <w:rFonts w:ascii="Times New Roman" w:hAnsi="Times New Roman" w:cs="Times New Roman"/>
          <w:i/>
          <w:iCs/>
          <w:color w:val="000000"/>
          <w:sz w:val="26"/>
          <w:szCs w:val="26"/>
          <w:lang w:val="vi-VN"/>
        </w:rPr>
        <w:t>Alex Sheshunoff Mgmt (2006)</w:t>
      </w:r>
      <w:r w:rsidR="00762683" w:rsidRPr="00B87971">
        <w:rPr>
          <w:rStyle w:val="FootnoteReference"/>
          <w:rFonts w:ascii="Times New Roman" w:hAnsi="Times New Roman" w:cs="Times New Roman"/>
          <w:sz w:val="26"/>
          <w:szCs w:val="26"/>
        </w:rPr>
        <w:footnoteReference w:id="24"/>
      </w:r>
      <w:r w:rsidRPr="00B87971">
        <w:rPr>
          <w:rFonts w:ascii="Times New Roman" w:hAnsi="Times New Roman" w:cs="Times New Roman"/>
          <w:color w:val="000000"/>
          <w:sz w:val="26"/>
          <w:szCs w:val="26"/>
          <w:shd w:val="clear" w:color="auto" w:fill="FFFFFF"/>
          <w:lang w:val="vi-VN"/>
        </w:rPr>
        <w:t xml:space="preserve"> giữa một bên là Alex Sheshunoff Management Services, L.P. (ASM) và người lao động là Kenneth Johnson. Cụ thể, </w:t>
      </w:r>
      <w:r w:rsidRPr="00B87971">
        <w:rPr>
          <w:rFonts w:ascii="Times New Roman" w:hAnsi="Times New Roman" w:cs="Times New Roman"/>
          <w:color w:val="000000"/>
          <w:sz w:val="26"/>
          <w:szCs w:val="26"/>
          <w:shd w:val="clear" w:color="auto" w:fill="FFFFFF"/>
          <w:lang w:val="vi-VN"/>
        </w:rPr>
        <w:lastRenderedPageBreak/>
        <w:t xml:space="preserve">Kenneth Johnson làm việc cho ASM từ năm 1993, và được bổ nhiệm làm Giám đốc Chương trình liên kết của ASM (Affiliation Program) từ năm 1997 kèm với một thỏa thuận không cạnh tranh được ký sau đó vài tháng. Trên cơ sở thỏa thuận đó, ASM cung cấp cho Kenneth Johnson kèm theo những thông tin thuộc bí mật kinh doanh lẫn </w:t>
      </w:r>
      <w:r w:rsidR="0025354A" w:rsidRPr="00B87971">
        <w:rPr>
          <w:rFonts w:ascii="Times New Roman" w:hAnsi="Times New Roman" w:cs="Times New Roman"/>
          <w:color w:val="000000"/>
          <w:sz w:val="26"/>
          <w:szCs w:val="26"/>
          <w:shd w:val="clear" w:color="auto" w:fill="FFFFFF"/>
          <w:lang w:val="vi-VN"/>
        </w:rPr>
        <w:t xml:space="preserve">khách hàng của ASM. Ngược lại, Kenneth Johnson cam kết là trong trường hợp chấp dứt hợp đồng với ASM thì trong vòng một năm không được cung cấp dịch vụ tư vấn (hoạt động của ASM) cho bất cứ khách hàng nào của ASM cũng như không hỗ trợ bất cứ một bên nào khác tham gia và trở thành thành viên của mạng lưới khách hàng được kết nỗi của ASM. Đến năm 2002, Kenneth Johnson đã ngừng việc ở ASM để chuyển sang Strunk &amp; Associates, L.P. (Strunk). Theo cáo buộc của ASM, Strunk </w:t>
      </w:r>
      <w:r w:rsidR="0031246C" w:rsidRPr="00B87971">
        <w:rPr>
          <w:rFonts w:ascii="Times New Roman" w:hAnsi="Times New Roman" w:cs="Times New Roman"/>
          <w:color w:val="000000"/>
          <w:sz w:val="26"/>
          <w:szCs w:val="26"/>
          <w:shd w:val="clear" w:color="auto" w:fill="FFFFFF"/>
        </w:rPr>
        <w:t>k</w:t>
      </w:r>
      <w:r w:rsidR="0025354A" w:rsidRPr="00B87971">
        <w:rPr>
          <w:rFonts w:ascii="Times New Roman" w:hAnsi="Times New Roman" w:cs="Times New Roman"/>
          <w:color w:val="000000"/>
          <w:sz w:val="26"/>
          <w:szCs w:val="26"/>
          <w:shd w:val="clear" w:color="auto" w:fill="FFFFFF"/>
          <w:lang w:val="vi-VN"/>
        </w:rPr>
        <w:t xml:space="preserve">ết nối và đề nghị thuê Kenneth Johnson từ năm 2001, trong lúc ông ta vẫn đang tiếp tục tiếp xúc với các thông tin kinh doanh quan trọng của ASM. </w:t>
      </w:r>
    </w:p>
    <w:p w14:paraId="56F73F0A" w14:textId="53F66FC6" w:rsidR="00EE031B" w:rsidRPr="00B87971" w:rsidRDefault="00F4401F"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Tòa phúc thẩm T</w:t>
      </w:r>
      <w:r w:rsidR="0031246C" w:rsidRPr="00B87971">
        <w:rPr>
          <w:rFonts w:ascii="Times New Roman" w:hAnsi="Times New Roman" w:cs="Times New Roman"/>
          <w:color w:val="000000"/>
          <w:sz w:val="26"/>
          <w:szCs w:val="26"/>
          <w:shd w:val="clear" w:color="auto" w:fill="FFFFFF"/>
        </w:rPr>
        <w:t>e</w:t>
      </w:r>
      <w:r w:rsidRPr="00B87971">
        <w:rPr>
          <w:rFonts w:ascii="Times New Roman" w:hAnsi="Times New Roman" w:cs="Times New Roman"/>
          <w:color w:val="000000"/>
          <w:sz w:val="26"/>
          <w:szCs w:val="26"/>
          <w:shd w:val="clear" w:color="auto" w:fill="FFFFFF"/>
          <w:lang w:val="vi-VN"/>
        </w:rPr>
        <w:t xml:space="preserve">xas </w:t>
      </w:r>
      <w:r w:rsidR="00F222FB" w:rsidRPr="00B87971">
        <w:rPr>
          <w:rFonts w:ascii="Times New Roman" w:hAnsi="Times New Roman" w:cs="Times New Roman"/>
          <w:color w:val="000000"/>
          <w:sz w:val="26"/>
          <w:szCs w:val="26"/>
          <w:shd w:val="clear" w:color="auto" w:fill="FFFFFF"/>
          <w:lang w:val="vi-VN"/>
        </w:rPr>
        <w:t xml:space="preserve">đã phân tích và đưa ra nhiều nhận định thú vị về giá trị của cam kết bảo mật gắn với thỏa thuận không cạnh tranh. </w:t>
      </w:r>
      <w:r w:rsidR="00EE031B" w:rsidRPr="00B87971">
        <w:rPr>
          <w:rFonts w:ascii="Times New Roman" w:hAnsi="Times New Roman" w:cs="Times New Roman"/>
          <w:color w:val="000000"/>
          <w:sz w:val="26"/>
          <w:szCs w:val="26"/>
          <w:shd w:val="clear" w:color="auto" w:fill="FFFFFF"/>
          <w:lang w:val="vi-VN"/>
        </w:rPr>
        <w:t xml:space="preserve">Theo Tòa, cả cam kết bảo mật và thỏa thuận không cạnh tranh là một phần </w:t>
      </w:r>
      <w:r w:rsidR="000304A7" w:rsidRPr="00B87971">
        <w:rPr>
          <w:rFonts w:ascii="Times New Roman" w:hAnsi="Times New Roman" w:cs="Times New Roman"/>
          <w:color w:val="000000"/>
          <w:sz w:val="26"/>
          <w:szCs w:val="26"/>
          <w:shd w:val="clear" w:color="auto" w:fill="FFFFFF"/>
          <w:lang w:val="vi-VN"/>
        </w:rPr>
        <w:t>HĐLĐ</w:t>
      </w:r>
      <w:r w:rsidR="00EE031B" w:rsidRPr="00B87971">
        <w:rPr>
          <w:rFonts w:ascii="Times New Roman" w:hAnsi="Times New Roman" w:cs="Times New Roman"/>
          <w:color w:val="000000"/>
          <w:sz w:val="26"/>
          <w:szCs w:val="26"/>
          <w:shd w:val="clear" w:color="auto" w:fill="FFFFFF"/>
          <w:lang w:val="vi-VN"/>
        </w:rPr>
        <w:t xml:space="preserve"> của Johnson. Và theo đó, thỏa thuận không cạnh tranh đã có giá trị thực thi trên cơ sở nó lệ thuộc vào thỏa thuận bảo mật có giá trị pháp lý. Thực ra, quan điểm của Tòa T</w:t>
      </w:r>
      <w:r w:rsidR="0031246C" w:rsidRPr="00B87971">
        <w:rPr>
          <w:rFonts w:ascii="Times New Roman" w:hAnsi="Times New Roman" w:cs="Times New Roman"/>
          <w:color w:val="000000"/>
          <w:sz w:val="26"/>
          <w:szCs w:val="26"/>
          <w:shd w:val="clear" w:color="auto" w:fill="FFFFFF"/>
        </w:rPr>
        <w:t>e</w:t>
      </w:r>
      <w:r w:rsidR="00EE031B" w:rsidRPr="00B87971">
        <w:rPr>
          <w:rFonts w:ascii="Times New Roman" w:hAnsi="Times New Roman" w:cs="Times New Roman"/>
          <w:color w:val="000000"/>
          <w:sz w:val="26"/>
          <w:szCs w:val="26"/>
          <w:shd w:val="clear" w:color="auto" w:fill="FFFFFF"/>
          <w:lang w:val="vi-VN"/>
        </w:rPr>
        <w:t xml:space="preserve">xas trong vụ việc này là, nếu người lao động ký vào cam kết bảo mật như là một điều kiện để tiếp tục làm việc thì cam kết đó có giá trị pháp lý dựa theo quá trình tiếp tục làm việc của anh ta. Nếu người lao động chấm dứt hợp đồng, dù tự nguyện hay bắt buộc, trước khi tiếp tục công việc thì anh ta sẽ không chịu sự ràng buộc bởi hợp đồng có nội dung cam kết đó. </w:t>
      </w:r>
    </w:p>
    <w:p w14:paraId="356A8E80" w14:textId="79B62D9C" w:rsidR="00FC3372" w:rsidRPr="00B87971" w:rsidRDefault="00EE031B"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Phân tích chi tiết để đưa ra quyết định cuối cùng, Tòa nhận định rằng</w:t>
      </w:r>
      <w:r w:rsidR="00F222FB" w:rsidRPr="00B87971">
        <w:rPr>
          <w:rFonts w:ascii="Times New Roman" w:hAnsi="Times New Roman" w:cs="Times New Roman"/>
          <w:color w:val="000000"/>
          <w:sz w:val="26"/>
          <w:szCs w:val="26"/>
          <w:shd w:val="clear" w:color="auto" w:fill="FFFFFF"/>
          <w:lang w:val="vi-VN"/>
        </w:rPr>
        <w:t xml:space="preserve"> “</w:t>
      </w:r>
      <w:r w:rsidR="0025354A" w:rsidRPr="00B87971">
        <w:rPr>
          <w:rFonts w:ascii="Times New Roman" w:hAnsi="Times New Roman" w:cs="Times New Roman"/>
          <w:i/>
          <w:color w:val="000000"/>
          <w:sz w:val="26"/>
          <w:szCs w:val="26"/>
          <w:shd w:val="clear" w:color="auto" w:fill="FFFFFF"/>
          <w:lang w:val="vi-VN"/>
        </w:rPr>
        <w:t xml:space="preserve">Johnson </w:t>
      </w:r>
      <w:r w:rsidR="00F222FB" w:rsidRPr="00B87971">
        <w:rPr>
          <w:rFonts w:ascii="Times New Roman" w:hAnsi="Times New Roman" w:cs="Times New Roman"/>
          <w:i/>
          <w:color w:val="000000"/>
          <w:sz w:val="26"/>
          <w:szCs w:val="26"/>
          <w:shd w:val="clear" w:color="auto" w:fill="FFFFFF"/>
          <w:lang w:val="vi-VN"/>
        </w:rPr>
        <w:t>chịu sự ràng buộc về cam kết không cạnh tranh khi mà bên sử dụng lao động sau đó đã tiến hành thực hiện các cam kết tương ứng trong việc cung cấp các khóa đào tạo đặc biệt về phương pháp kinh doanh cũng như thông tin được bảo mật của họ</w:t>
      </w:r>
      <w:r w:rsidR="00F222FB" w:rsidRPr="00B87971">
        <w:rPr>
          <w:rFonts w:ascii="Times New Roman" w:hAnsi="Times New Roman" w:cs="Times New Roman"/>
          <w:color w:val="000000"/>
          <w:sz w:val="26"/>
          <w:szCs w:val="26"/>
          <w:shd w:val="clear" w:color="auto" w:fill="FFFFFF"/>
          <w:lang w:val="vi-VN"/>
        </w:rPr>
        <w:t>”. Điều đặc biệt, Tòa cho rằng, thỏa thuận không cạnh tranh “lệ thuộc hay là một phần” của cảm kết bảo mật, và người sử dụng lao động thiết kế điều khoản không cạnh tranh là để không bại lộ thông tin đó. Hay nói cách khác, đó là cách để người sử dụng lao động bảo toàn “tài sản thuộc sở hữu của họ”, một loại lợi ích mà Toà nhìn nhận là “xứng đáng để được bảo vệ”. Thậm chí, dưới góc nhìn truyền thống của luật hợp đồng lợi ích đó có thể là “tiền”</w:t>
      </w:r>
      <w:r w:rsidR="00F71CF0" w:rsidRPr="00B87971">
        <w:rPr>
          <w:rStyle w:val="FootnoteReference"/>
          <w:rFonts w:ascii="Times New Roman" w:hAnsi="Times New Roman" w:cs="Times New Roman"/>
          <w:sz w:val="26"/>
          <w:szCs w:val="26"/>
        </w:rPr>
        <w:footnoteReference w:id="25"/>
      </w:r>
      <w:r w:rsidR="00F222FB" w:rsidRPr="00B87971">
        <w:rPr>
          <w:rFonts w:ascii="Times New Roman" w:hAnsi="Times New Roman" w:cs="Times New Roman"/>
          <w:color w:val="000000"/>
          <w:sz w:val="26"/>
          <w:szCs w:val="26"/>
          <w:shd w:val="clear" w:color="auto" w:fill="FFFFFF"/>
          <w:lang w:val="vi-VN"/>
        </w:rPr>
        <w:t>. Rõ ràng, cách tiếp cận của Tòa T</w:t>
      </w:r>
      <w:r w:rsidR="0031246C" w:rsidRPr="00B87971">
        <w:rPr>
          <w:rFonts w:ascii="Times New Roman" w:hAnsi="Times New Roman" w:cs="Times New Roman"/>
          <w:color w:val="000000"/>
          <w:sz w:val="26"/>
          <w:szCs w:val="26"/>
          <w:shd w:val="clear" w:color="auto" w:fill="FFFFFF"/>
        </w:rPr>
        <w:t>e</w:t>
      </w:r>
      <w:r w:rsidR="00F222FB" w:rsidRPr="00B87971">
        <w:rPr>
          <w:rFonts w:ascii="Times New Roman" w:hAnsi="Times New Roman" w:cs="Times New Roman"/>
          <w:color w:val="000000"/>
          <w:sz w:val="26"/>
          <w:szCs w:val="26"/>
          <w:shd w:val="clear" w:color="auto" w:fill="FFFFFF"/>
          <w:lang w:val="vi-VN"/>
        </w:rPr>
        <w:t>xas đã xem xét rất kỹ đến lợi ích của bên sử dụng lao động, và điều quan trọng nó là lợi ích có thể bảo vệ đượ</w:t>
      </w:r>
      <w:r w:rsidR="00193B89" w:rsidRPr="00B87971">
        <w:rPr>
          <w:rFonts w:ascii="Times New Roman" w:hAnsi="Times New Roman" w:cs="Times New Roman"/>
          <w:color w:val="000000"/>
          <w:sz w:val="26"/>
          <w:szCs w:val="26"/>
          <w:shd w:val="clear" w:color="auto" w:fill="FFFFFF"/>
          <w:lang w:val="vi-VN"/>
        </w:rPr>
        <w:t>c.</w:t>
      </w:r>
      <w:r w:rsidR="009A45C7" w:rsidRPr="00B87971">
        <w:rPr>
          <w:rFonts w:ascii="Times New Roman" w:hAnsi="Times New Roman" w:cs="Times New Roman"/>
          <w:color w:val="000000"/>
          <w:sz w:val="26"/>
          <w:szCs w:val="26"/>
          <w:shd w:val="clear" w:color="auto" w:fill="FFFFFF"/>
          <w:lang w:val="vi-VN"/>
        </w:rPr>
        <w:t xml:space="preserve"> Có thể nói, sau vụ việc này, tiếp cận điều khoản giới hạn kinh doanh trong </w:t>
      </w:r>
      <w:r w:rsidR="000304A7" w:rsidRPr="00B87971">
        <w:rPr>
          <w:rFonts w:ascii="Times New Roman" w:hAnsi="Times New Roman" w:cs="Times New Roman"/>
          <w:color w:val="000000"/>
          <w:sz w:val="26"/>
          <w:szCs w:val="26"/>
          <w:shd w:val="clear" w:color="auto" w:fill="FFFFFF"/>
          <w:lang w:val="vi-VN"/>
        </w:rPr>
        <w:t>HĐLĐ</w:t>
      </w:r>
      <w:r w:rsidR="009A45C7" w:rsidRPr="00B87971">
        <w:rPr>
          <w:rFonts w:ascii="Times New Roman" w:hAnsi="Times New Roman" w:cs="Times New Roman"/>
          <w:color w:val="000000"/>
          <w:sz w:val="26"/>
          <w:szCs w:val="26"/>
          <w:shd w:val="clear" w:color="auto" w:fill="FFFFFF"/>
          <w:lang w:val="vi-VN"/>
        </w:rPr>
        <w:t xml:space="preserve"> tập trung nhiều hơn về tính hợp lý của nó thay vì chỉ đơn thuần là thời gian và thời điểm tạo lập nó</w:t>
      </w:r>
      <w:r w:rsidR="009A45C7" w:rsidRPr="00B87971">
        <w:rPr>
          <w:rStyle w:val="FootnoteReference"/>
          <w:rFonts w:ascii="Times New Roman" w:hAnsi="Times New Roman" w:cs="Times New Roman"/>
          <w:sz w:val="26"/>
          <w:szCs w:val="26"/>
        </w:rPr>
        <w:footnoteReference w:id="26"/>
      </w:r>
      <w:r w:rsidR="009A45C7" w:rsidRPr="00B87971">
        <w:rPr>
          <w:rFonts w:ascii="Times New Roman" w:hAnsi="Times New Roman" w:cs="Times New Roman"/>
          <w:color w:val="000000"/>
          <w:sz w:val="26"/>
          <w:szCs w:val="26"/>
          <w:shd w:val="clear" w:color="auto" w:fill="FFFFFF"/>
          <w:lang w:val="vi-VN"/>
        </w:rPr>
        <w:t xml:space="preserve">. </w:t>
      </w:r>
      <w:r w:rsidR="002F24F2" w:rsidRPr="00B87971">
        <w:rPr>
          <w:rFonts w:ascii="Times New Roman" w:hAnsi="Times New Roman" w:cs="Times New Roman"/>
          <w:color w:val="000000"/>
          <w:sz w:val="26"/>
          <w:szCs w:val="26"/>
          <w:shd w:val="clear" w:color="auto" w:fill="FFFFFF"/>
          <w:lang w:val="vi-VN"/>
        </w:rPr>
        <w:t xml:space="preserve">Dù vậy, tiếp cận này vẫn đối diện với những tranh cãi, và vấn đề pháp lý của điều khoản vẫn tiếp tục được thảo luận </w:t>
      </w:r>
      <w:r w:rsidR="002F24F2" w:rsidRPr="00B87971">
        <w:rPr>
          <w:rFonts w:ascii="Times New Roman" w:hAnsi="Times New Roman" w:cs="Times New Roman"/>
          <w:color w:val="000000"/>
          <w:sz w:val="26"/>
          <w:szCs w:val="26"/>
          <w:shd w:val="clear" w:color="auto" w:fill="FFFFFF"/>
          <w:lang w:val="vi-VN"/>
        </w:rPr>
        <w:lastRenderedPageBreak/>
        <w:t>cũng như tiếp tục được bổ sung từ thực tiễn giải quyết tranh chấp, đặc biệt đối với hệ thống pháp luật án lệ (case law)</w:t>
      </w:r>
      <w:r w:rsidR="002F24F2" w:rsidRPr="00B87971">
        <w:rPr>
          <w:rStyle w:val="FootnoteReference"/>
          <w:rFonts w:ascii="Times New Roman" w:hAnsi="Times New Roman" w:cs="Times New Roman"/>
          <w:sz w:val="26"/>
          <w:szCs w:val="26"/>
        </w:rPr>
        <w:footnoteReference w:id="27"/>
      </w:r>
      <w:r w:rsidR="002F24F2" w:rsidRPr="00B87971">
        <w:rPr>
          <w:rFonts w:ascii="Times New Roman" w:hAnsi="Times New Roman" w:cs="Times New Roman"/>
          <w:color w:val="000000"/>
          <w:sz w:val="26"/>
          <w:szCs w:val="26"/>
          <w:shd w:val="clear" w:color="auto" w:fill="FFFFFF"/>
          <w:lang w:val="vi-VN"/>
        </w:rPr>
        <w:t xml:space="preserve">. </w:t>
      </w:r>
    </w:p>
    <w:p w14:paraId="67D8F83C" w14:textId="28800668" w:rsidR="00D72FB9" w:rsidRPr="00B87971" w:rsidRDefault="00D72FB9" w:rsidP="00F33E92">
      <w:pPr>
        <w:pStyle w:val="ListParagraph"/>
        <w:numPr>
          <w:ilvl w:val="0"/>
          <w:numId w:val="3"/>
        </w:numPr>
        <w:adjustRightInd w:val="0"/>
        <w:snapToGrid w:val="0"/>
        <w:spacing w:after="120" w:line="240" w:lineRule="auto"/>
        <w:jc w:val="both"/>
        <w:rPr>
          <w:rFonts w:ascii="Times New Roman" w:hAnsi="Times New Roman" w:cs="Times New Roman"/>
          <w:b/>
          <w:sz w:val="26"/>
          <w:szCs w:val="26"/>
          <w:lang w:val="vi-VN"/>
        </w:rPr>
      </w:pPr>
      <w:r w:rsidRPr="00B87971">
        <w:rPr>
          <w:rFonts w:ascii="Times New Roman" w:hAnsi="Times New Roman" w:cs="Times New Roman"/>
          <w:b/>
          <w:sz w:val="26"/>
          <w:szCs w:val="26"/>
          <w:lang w:val="vi-VN"/>
        </w:rPr>
        <w:t>Bối cảnh Việt Nam và một vài gợi ý bước đ</w:t>
      </w:r>
      <w:r w:rsidR="00DC3A10" w:rsidRPr="00B87971">
        <w:rPr>
          <w:rFonts w:ascii="Times New Roman" w:hAnsi="Times New Roman" w:cs="Times New Roman"/>
          <w:b/>
          <w:sz w:val="26"/>
          <w:szCs w:val="26"/>
          <w:lang w:val="vi-VN"/>
        </w:rPr>
        <w:t xml:space="preserve">ầu </w:t>
      </w:r>
    </w:p>
    <w:p w14:paraId="4B2D911A" w14:textId="3D3FACF3" w:rsidR="008B39CB" w:rsidRPr="00B87971" w:rsidRDefault="008B39CB"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Thực tiễn ký kết </w:t>
      </w:r>
      <w:r w:rsidR="000304A7" w:rsidRPr="00B87971">
        <w:rPr>
          <w:rFonts w:ascii="Times New Roman" w:hAnsi="Times New Roman" w:cs="Times New Roman"/>
          <w:color w:val="000000"/>
          <w:sz w:val="26"/>
          <w:szCs w:val="26"/>
          <w:shd w:val="clear" w:color="auto" w:fill="FFFFFF"/>
          <w:lang w:val="vi-VN"/>
        </w:rPr>
        <w:t>HĐLĐ</w:t>
      </w:r>
      <w:r w:rsidRPr="00B87971">
        <w:rPr>
          <w:rFonts w:ascii="Times New Roman" w:hAnsi="Times New Roman" w:cs="Times New Roman"/>
          <w:color w:val="000000"/>
          <w:sz w:val="26"/>
          <w:szCs w:val="26"/>
          <w:shd w:val="clear" w:color="auto" w:fill="FFFFFF"/>
          <w:lang w:val="vi-VN"/>
        </w:rPr>
        <w:t xml:space="preserve"> ở Việt Nam trong những năm gần đây cho thấy các công ty đã chủ động sử dụng điều khoản này, ngay cả khi pháp luật lao động của nước ta chưa đề cập. Và trên thực tế, một vài vụ tranh chấp về điều khoản giới hạn kinh doanh trong </w:t>
      </w:r>
      <w:r w:rsidR="000304A7" w:rsidRPr="00B87971">
        <w:rPr>
          <w:rFonts w:ascii="Times New Roman" w:hAnsi="Times New Roman" w:cs="Times New Roman"/>
          <w:color w:val="000000"/>
          <w:sz w:val="26"/>
          <w:szCs w:val="26"/>
          <w:shd w:val="clear" w:color="auto" w:fill="FFFFFF"/>
          <w:lang w:val="vi-VN"/>
        </w:rPr>
        <w:t>HĐLĐ</w:t>
      </w:r>
      <w:r w:rsidRPr="00B87971">
        <w:rPr>
          <w:rFonts w:ascii="Times New Roman" w:hAnsi="Times New Roman" w:cs="Times New Roman"/>
          <w:color w:val="000000"/>
          <w:sz w:val="26"/>
          <w:szCs w:val="26"/>
          <w:shd w:val="clear" w:color="auto" w:fill="FFFFFF"/>
          <w:lang w:val="vi-VN"/>
        </w:rPr>
        <w:t xml:space="preserve"> (thường được xem là điều khoản NDA) đã xảy ra. Cho dù ở thời điểm hiện tại, Bộ luật lao động Việt Nam đã ít nhiều đề cập đến vài khía cạnh pháp lý có liên quan thì những tranh cãi quanh các phán quyết của các cơ quan tài phán vẫn diễn ra. </w:t>
      </w:r>
    </w:p>
    <w:p w14:paraId="0F49E649" w14:textId="7F7B9CC1" w:rsidR="003F7193" w:rsidRPr="00B87971" w:rsidRDefault="008B39CB" w:rsidP="00F33E92">
      <w:pPr>
        <w:adjustRightInd w:val="0"/>
        <w:snapToGrid w:val="0"/>
        <w:spacing w:after="120" w:line="240" w:lineRule="auto"/>
        <w:ind w:firstLine="540"/>
        <w:jc w:val="both"/>
        <w:rPr>
          <w:rFonts w:ascii="Times New Roman" w:hAnsi="Times New Roman" w:cs="Times New Roman"/>
          <w:color w:val="333333"/>
          <w:sz w:val="26"/>
          <w:szCs w:val="26"/>
          <w:lang w:val="vi-VN"/>
        </w:rPr>
      </w:pPr>
      <w:r w:rsidRPr="00B87971">
        <w:rPr>
          <w:rFonts w:ascii="Times New Roman" w:hAnsi="Times New Roman" w:cs="Times New Roman"/>
          <w:color w:val="000000"/>
          <w:sz w:val="26"/>
          <w:szCs w:val="26"/>
          <w:shd w:val="clear" w:color="auto" w:fill="FFFFFF"/>
          <w:lang w:val="vi-VN"/>
        </w:rPr>
        <w:t>Vụ việc gần đây nhất xảy ra ở</w:t>
      </w:r>
      <w:r w:rsidR="005543D0" w:rsidRPr="00B87971">
        <w:rPr>
          <w:rFonts w:ascii="Times New Roman" w:hAnsi="Times New Roman" w:cs="Times New Roman"/>
          <w:color w:val="000000"/>
          <w:sz w:val="26"/>
          <w:szCs w:val="26"/>
          <w:shd w:val="clear" w:color="auto" w:fill="FFFFFF"/>
          <w:lang w:val="vi-VN"/>
        </w:rPr>
        <w:t xml:space="preserve"> TP.</w:t>
      </w:r>
      <w:r w:rsidRPr="00B87971">
        <w:rPr>
          <w:rFonts w:ascii="Times New Roman" w:hAnsi="Times New Roman" w:cs="Times New Roman"/>
          <w:color w:val="000000"/>
          <w:sz w:val="26"/>
          <w:szCs w:val="26"/>
          <w:shd w:val="clear" w:color="auto" w:fill="FFFFFF"/>
          <w:lang w:val="vi-VN"/>
        </w:rPr>
        <w:t>HCM. Cụ thể, s</w:t>
      </w:r>
      <w:r w:rsidR="003F7193" w:rsidRPr="00B87971">
        <w:rPr>
          <w:rFonts w:ascii="Times New Roman" w:hAnsi="Times New Roman" w:cs="Times New Roman"/>
          <w:color w:val="333333"/>
          <w:sz w:val="26"/>
          <w:szCs w:val="26"/>
          <w:lang w:val="vi-VN"/>
        </w:rPr>
        <w:t xml:space="preserve">au khi ký </w:t>
      </w:r>
      <w:r w:rsidRPr="00B87971">
        <w:rPr>
          <w:rFonts w:ascii="Times New Roman" w:hAnsi="Times New Roman" w:cs="Times New Roman"/>
          <w:color w:val="333333"/>
          <w:sz w:val="26"/>
          <w:szCs w:val="26"/>
          <w:lang w:val="vi-VN"/>
        </w:rPr>
        <w:t>HĐLĐ</w:t>
      </w:r>
      <w:r w:rsidR="003F7193" w:rsidRPr="00B87971">
        <w:rPr>
          <w:rFonts w:ascii="Times New Roman" w:hAnsi="Times New Roman" w:cs="Times New Roman"/>
          <w:color w:val="333333"/>
          <w:sz w:val="26"/>
          <w:szCs w:val="26"/>
          <w:lang w:val="vi-VN"/>
        </w:rPr>
        <w:t xml:space="preserve"> với Công ty TNHH Recess (quận 1, TP HCM) ở vị trí trưởng bộ phận tuyển dụng, bà Đ.T.M.Tr ký tiếp với công ty NDA. Thỏa thuận này quy định, khi </w:t>
      </w:r>
      <w:r w:rsidRPr="00B87971">
        <w:rPr>
          <w:rFonts w:ascii="Times New Roman" w:hAnsi="Times New Roman" w:cs="Times New Roman"/>
          <w:color w:val="333333"/>
          <w:sz w:val="26"/>
          <w:szCs w:val="26"/>
          <w:lang w:val="vi-VN"/>
        </w:rPr>
        <w:t>không còn làm việc</w:t>
      </w:r>
      <w:r w:rsidR="003F7193" w:rsidRPr="00B87971">
        <w:rPr>
          <w:rFonts w:ascii="Times New Roman" w:hAnsi="Times New Roman" w:cs="Times New Roman"/>
          <w:color w:val="333333"/>
          <w:sz w:val="26"/>
          <w:szCs w:val="26"/>
          <w:lang w:val="vi-VN"/>
        </w:rPr>
        <w:t xml:space="preserve"> với Recess, trong 12 tháng, không xét đến nguyên nhân chấm dứt HĐLĐ, bà Tr. không được làm những công việc tương tự ở các </w:t>
      </w:r>
      <w:r w:rsidRPr="00B87971">
        <w:rPr>
          <w:rFonts w:ascii="Times New Roman" w:hAnsi="Times New Roman" w:cs="Times New Roman"/>
          <w:color w:val="333333"/>
          <w:sz w:val="26"/>
          <w:szCs w:val="26"/>
          <w:lang w:val="vi-VN"/>
        </w:rPr>
        <w:t>doanh nghiệp khác</w:t>
      </w:r>
      <w:r w:rsidR="003F7193" w:rsidRPr="00B87971">
        <w:rPr>
          <w:rFonts w:ascii="Times New Roman" w:hAnsi="Times New Roman" w:cs="Times New Roman"/>
          <w:color w:val="333333"/>
          <w:sz w:val="26"/>
          <w:szCs w:val="26"/>
          <w:lang w:val="vi-VN"/>
        </w:rPr>
        <w:t xml:space="preserve"> có cùng lĩnh vực kinh doanh, các đối thủ cạnh tranh hoặc những đơn vị liên kết, đối tác của công ty, nếu vi phạm sẽ phải bồi thường.</w:t>
      </w:r>
      <w:r w:rsidRPr="00B87971">
        <w:rPr>
          <w:rFonts w:ascii="Times New Roman" w:hAnsi="Times New Roman" w:cs="Times New Roman"/>
          <w:color w:val="333333"/>
          <w:sz w:val="26"/>
          <w:szCs w:val="26"/>
          <w:lang w:val="vi-VN"/>
        </w:rPr>
        <w:t xml:space="preserve"> Tuy nhiên, s</w:t>
      </w:r>
      <w:r w:rsidR="003F7193" w:rsidRPr="00B87971">
        <w:rPr>
          <w:rFonts w:ascii="Times New Roman" w:hAnsi="Times New Roman" w:cs="Times New Roman"/>
          <w:color w:val="333333"/>
          <w:sz w:val="26"/>
          <w:szCs w:val="26"/>
          <w:lang w:val="vi-VN"/>
        </w:rPr>
        <w:t xml:space="preserve">au khi bà Tr. thôi việc, phát hiện bà đang làm cho một </w:t>
      </w:r>
      <w:r w:rsidRPr="00B87971">
        <w:rPr>
          <w:rFonts w:ascii="Times New Roman" w:hAnsi="Times New Roman" w:cs="Times New Roman"/>
          <w:color w:val="333333"/>
          <w:sz w:val="26"/>
          <w:szCs w:val="26"/>
          <w:lang w:val="vi-VN"/>
        </w:rPr>
        <w:t>doanh nghiệp</w:t>
      </w:r>
      <w:r w:rsidR="003F7193" w:rsidRPr="00B87971">
        <w:rPr>
          <w:rFonts w:ascii="Times New Roman" w:hAnsi="Times New Roman" w:cs="Times New Roman"/>
          <w:color w:val="333333"/>
          <w:sz w:val="26"/>
          <w:szCs w:val="26"/>
          <w:lang w:val="vi-VN"/>
        </w:rPr>
        <w:t xml:space="preserve"> kinh doanh cùng lĩnh vực, công ty </w:t>
      </w:r>
      <w:r w:rsidRPr="00B87971">
        <w:rPr>
          <w:rFonts w:ascii="Times New Roman" w:hAnsi="Times New Roman" w:cs="Times New Roman"/>
          <w:color w:val="333333"/>
          <w:sz w:val="26"/>
          <w:szCs w:val="26"/>
          <w:lang w:val="vi-VN"/>
        </w:rPr>
        <w:t xml:space="preserve">Recess </w:t>
      </w:r>
      <w:r w:rsidR="003F7193" w:rsidRPr="00B87971">
        <w:rPr>
          <w:rFonts w:ascii="Times New Roman" w:hAnsi="Times New Roman" w:cs="Times New Roman"/>
          <w:color w:val="333333"/>
          <w:sz w:val="26"/>
          <w:szCs w:val="26"/>
          <w:lang w:val="vi-VN"/>
        </w:rPr>
        <w:t>đã lập vi bằng và khởi kiện bà Tr. tại Trung tâm Trọng tài quốc tế Việt Nam (VIAC). Không phục phán quyết của VIAC, bà Tr. gửi đơn lên TAND TP HCM. Sau phán quyết của VIAC, TAND TP HCM một lần nữa bác bỏ yêu cầu của bà Tr.</w:t>
      </w:r>
      <w:r w:rsidR="00C83BB1" w:rsidRPr="00B87971">
        <w:rPr>
          <w:rStyle w:val="FootnoteReference"/>
          <w:rFonts w:ascii="Times New Roman" w:hAnsi="Times New Roman" w:cs="Times New Roman"/>
          <w:sz w:val="26"/>
          <w:szCs w:val="26"/>
        </w:rPr>
        <w:footnoteReference w:id="28"/>
      </w:r>
      <w:r w:rsidR="003F7193" w:rsidRPr="00B87971">
        <w:rPr>
          <w:rFonts w:ascii="Times New Roman" w:hAnsi="Times New Roman" w:cs="Times New Roman"/>
          <w:color w:val="333333"/>
          <w:sz w:val="26"/>
          <w:szCs w:val="26"/>
          <w:lang w:val="vi-VN"/>
        </w:rPr>
        <w:t xml:space="preserve"> Phán quyết này tiếp tục dấy lên những tranh luận pháp lý về các điều khoản giới hạn kinh doanh trong HĐLĐ. </w:t>
      </w:r>
    </w:p>
    <w:p w14:paraId="2523EF62" w14:textId="3A8D1F1D" w:rsidR="002802E6" w:rsidRPr="00B87971" w:rsidRDefault="006B4F10" w:rsidP="00F33E92">
      <w:pPr>
        <w:adjustRightInd w:val="0"/>
        <w:snapToGrid w:val="0"/>
        <w:spacing w:after="120" w:line="240" w:lineRule="auto"/>
        <w:ind w:firstLine="540"/>
        <w:jc w:val="both"/>
        <w:rPr>
          <w:rFonts w:ascii="Times New Roman" w:hAnsi="Times New Roman" w:cs="Times New Roman"/>
          <w:color w:val="333333"/>
          <w:sz w:val="26"/>
          <w:szCs w:val="26"/>
          <w:lang w:val="vi-VN"/>
        </w:rPr>
      </w:pPr>
      <w:r w:rsidRPr="00B87971">
        <w:rPr>
          <w:rFonts w:ascii="Times New Roman" w:hAnsi="Times New Roman" w:cs="Times New Roman"/>
          <w:color w:val="333333"/>
          <w:sz w:val="26"/>
          <w:szCs w:val="26"/>
          <w:lang w:val="vi-VN"/>
        </w:rPr>
        <w:t>Giữ lại vấn đề thẩm quyền của Tòa án và Trọng tài cho các phần thảo luậ</w:t>
      </w:r>
      <w:r w:rsidR="00427346" w:rsidRPr="00B87971">
        <w:rPr>
          <w:rFonts w:ascii="Times New Roman" w:hAnsi="Times New Roman" w:cs="Times New Roman"/>
          <w:color w:val="333333"/>
          <w:sz w:val="26"/>
          <w:szCs w:val="26"/>
          <w:lang w:val="vi-VN"/>
        </w:rPr>
        <w:t>n khác,</w:t>
      </w:r>
      <w:r w:rsidR="002802E6" w:rsidRPr="00B87971">
        <w:rPr>
          <w:rFonts w:ascii="Times New Roman" w:hAnsi="Times New Roman" w:cs="Times New Roman"/>
          <w:color w:val="333333"/>
          <w:sz w:val="26"/>
          <w:szCs w:val="26"/>
          <w:lang w:val="vi-VN"/>
        </w:rPr>
        <w:t xml:space="preserve"> </w:t>
      </w:r>
      <w:r w:rsidR="00427346" w:rsidRPr="00B87971">
        <w:rPr>
          <w:rFonts w:ascii="Times New Roman" w:hAnsi="Times New Roman" w:cs="Times New Roman"/>
          <w:color w:val="333333"/>
          <w:sz w:val="26"/>
          <w:szCs w:val="26"/>
          <w:lang w:val="vi-VN"/>
        </w:rPr>
        <w:t>việc tiếp cận với điều khoản giới hạn kinh doanh trong</w:t>
      </w:r>
      <w:r w:rsidR="00033E04" w:rsidRPr="00B87971">
        <w:rPr>
          <w:rFonts w:ascii="Times New Roman" w:hAnsi="Times New Roman" w:cs="Times New Roman"/>
          <w:color w:val="333333"/>
          <w:sz w:val="26"/>
          <w:szCs w:val="26"/>
        </w:rPr>
        <w:t xml:space="preserve"> </w:t>
      </w:r>
      <w:r w:rsidR="000304A7" w:rsidRPr="00B87971">
        <w:rPr>
          <w:rFonts w:ascii="Times New Roman" w:hAnsi="Times New Roman" w:cs="Times New Roman"/>
          <w:color w:val="333333"/>
          <w:sz w:val="26"/>
          <w:szCs w:val="26"/>
        </w:rPr>
        <w:t>HĐLĐ</w:t>
      </w:r>
      <w:r w:rsidR="00033E04" w:rsidRPr="00B87971">
        <w:rPr>
          <w:rFonts w:ascii="Times New Roman" w:hAnsi="Times New Roman" w:cs="Times New Roman"/>
          <w:color w:val="333333"/>
          <w:sz w:val="26"/>
          <w:szCs w:val="26"/>
        </w:rPr>
        <w:t xml:space="preserve"> </w:t>
      </w:r>
      <w:r w:rsidR="00427346" w:rsidRPr="00B87971">
        <w:rPr>
          <w:rFonts w:ascii="Times New Roman" w:hAnsi="Times New Roman" w:cs="Times New Roman"/>
          <w:color w:val="333333"/>
          <w:sz w:val="26"/>
          <w:szCs w:val="26"/>
          <w:lang w:val="vi-VN"/>
        </w:rPr>
        <w:t xml:space="preserve">đề cập đến </w:t>
      </w:r>
      <w:r w:rsidR="002802E6" w:rsidRPr="00B87971">
        <w:rPr>
          <w:rFonts w:ascii="Times New Roman" w:hAnsi="Times New Roman" w:cs="Times New Roman"/>
          <w:color w:val="333333"/>
          <w:sz w:val="26"/>
          <w:szCs w:val="26"/>
          <w:lang w:val="vi-VN"/>
        </w:rPr>
        <w:t xml:space="preserve">vài nhận định </w:t>
      </w:r>
      <w:r w:rsidR="00427346" w:rsidRPr="00B87971">
        <w:rPr>
          <w:rFonts w:ascii="Times New Roman" w:hAnsi="Times New Roman" w:cs="Times New Roman"/>
          <w:color w:val="333333"/>
          <w:sz w:val="26"/>
          <w:szCs w:val="26"/>
          <w:lang w:val="vi-VN"/>
        </w:rPr>
        <w:t xml:space="preserve">có liên quan </w:t>
      </w:r>
      <w:r w:rsidR="002802E6" w:rsidRPr="00B87971">
        <w:rPr>
          <w:rFonts w:ascii="Times New Roman" w:hAnsi="Times New Roman" w:cs="Times New Roman"/>
          <w:color w:val="333333"/>
          <w:sz w:val="26"/>
          <w:szCs w:val="26"/>
          <w:lang w:val="vi-VN"/>
        </w:rPr>
        <w:t xml:space="preserve">của Tòa về tính chất của điều khoản </w:t>
      </w:r>
      <w:r w:rsidR="00427346" w:rsidRPr="00B87971">
        <w:rPr>
          <w:rFonts w:ascii="Times New Roman" w:hAnsi="Times New Roman" w:cs="Times New Roman"/>
          <w:color w:val="333333"/>
          <w:sz w:val="26"/>
          <w:szCs w:val="26"/>
          <w:lang w:val="vi-VN"/>
        </w:rPr>
        <w:t>này. Theo nội dung khởi kiện, bài Tr. cho rằng thỏa thuận trong NDA hạn chế quyền được tự do lựa chọn việc làm của NLĐ, tức vi phạm điều cấm của pháp luật Việt Nam. Tuy nhiên, lập luận này đã bị Tòa phủ nhận với lập luận, NDA không vi phạm điều cấm của pháp luật Việt Nam về quyền làm việc, quyền lựa chọn nghề nghiệp, việc làm và nơi làm việc, tự do làm việc cho bất kỳ NSDLĐ nào của NLĐ</w:t>
      </w:r>
      <w:r w:rsidR="005543D0" w:rsidRPr="00B87971">
        <w:rPr>
          <w:rStyle w:val="FootnoteReference"/>
          <w:rFonts w:ascii="Times New Roman" w:hAnsi="Times New Roman" w:cs="Times New Roman"/>
          <w:sz w:val="26"/>
          <w:szCs w:val="26"/>
        </w:rPr>
        <w:footnoteReference w:id="29"/>
      </w:r>
      <w:r w:rsidR="00427346" w:rsidRPr="00B87971">
        <w:rPr>
          <w:rFonts w:ascii="Times New Roman" w:hAnsi="Times New Roman" w:cs="Times New Roman"/>
          <w:color w:val="333333"/>
          <w:sz w:val="26"/>
          <w:szCs w:val="26"/>
          <w:lang w:val="vi-VN"/>
        </w:rPr>
        <w:t>. Cụ thể, theo điều 3.2 Bộ</w:t>
      </w:r>
      <w:r w:rsidR="005543D0" w:rsidRPr="00B87971">
        <w:rPr>
          <w:rFonts w:ascii="Times New Roman" w:hAnsi="Times New Roman" w:cs="Times New Roman"/>
          <w:color w:val="333333"/>
          <w:sz w:val="26"/>
          <w:szCs w:val="26"/>
          <w:lang w:val="vi-VN"/>
        </w:rPr>
        <w:t xml:space="preserve"> l</w:t>
      </w:r>
      <w:r w:rsidR="00427346" w:rsidRPr="00B87971">
        <w:rPr>
          <w:rFonts w:ascii="Times New Roman" w:hAnsi="Times New Roman" w:cs="Times New Roman"/>
          <w:color w:val="333333"/>
          <w:sz w:val="26"/>
          <w:szCs w:val="26"/>
          <w:lang w:val="vi-VN"/>
        </w:rPr>
        <w:t xml:space="preserve">uật Dân sự, “các bên có quyền tự do thỏa thuận không trái với các quy định của pháp luật, thuần phong mỹ tục và đạo đức xã hội để xác lập các quyền và nghĩa vụ của các bên trong hoạt động thương mại. Nhà nước tôn trọng và bảo hộ các quyền đó”. Tại thời điểm ký kết NDA, bà Tr. có đầy đủ năng lực hành vi dân sự, hoàn toàn tự nguyện và không bị ép buộc. Đồng thời, nội dung NDA cũng không vi phạm điều cấm của pháp luật, không trái đạo đức xã hội nên theo nguyên </w:t>
      </w:r>
      <w:r w:rsidR="00427346" w:rsidRPr="00B87971">
        <w:rPr>
          <w:rFonts w:ascii="Times New Roman" w:hAnsi="Times New Roman" w:cs="Times New Roman"/>
          <w:color w:val="333333"/>
          <w:sz w:val="26"/>
          <w:szCs w:val="26"/>
          <w:lang w:val="vi-VN"/>
        </w:rPr>
        <w:lastRenderedPageBreak/>
        <w:t>tắc tự nguyện, tự do cam kết, thỏa thuận NDA có hiệu lực và phải được các bên tuân thủ.</w:t>
      </w:r>
      <w:r w:rsidR="005543D0" w:rsidRPr="00B87971">
        <w:rPr>
          <w:rStyle w:val="FootnoteReference"/>
          <w:rFonts w:ascii="Times New Roman" w:hAnsi="Times New Roman" w:cs="Times New Roman"/>
          <w:sz w:val="26"/>
          <w:szCs w:val="26"/>
        </w:rPr>
        <w:footnoteReference w:id="30"/>
      </w:r>
      <w:r w:rsidR="00427346" w:rsidRPr="00B87971">
        <w:rPr>
          <w:rFonts w:ascii="Times New Roman" w:hAnsi="Times New Roman" w:cs="Times New Roman"/>
          <w:color w:val="333333"/>
          <w:sz w:val="26"/>
          <w:szCs w:val="26"/>
          <w:lang w:val="vi-VN"/>
        </w:rPr>
        <w:t> </w:t>
      </w:r>
    </w:p>
    <w:p w14:paraId="425F04ED" w14:textId="4253783A" w:rsidR="00427346" w:rsidRPr="00B87971" w:rsidRDefault="00427346" w:rsidP="00F33E92">
      <w:pPr>
        <w:adjustRightInd w:val="0"/>
        <w:snapToGrid w:val="0"/>
        <w:spacing w:after="120" w:line="240" w:lineRule="auto"/>
        <w:ind w:firstLine="540"/>
        <w:jc w:val="both"/>
        <w:rPr>
          <w:rFonts w:ascii="Times New Roman" w:hAnsi="Times New Roman" w:cs="Times New Roman"/>
          <w:color w:val="333333"/>
          <w:sz w:val="26"/>
          <w:szCs w:val="26"/>
          <w:lang w:val="vi-VN"/>
        </w:rPr>
      </w:pPr>
      <w:r w:rsidRPr="00B87971">
        <w:rPr>
          <w:rFonts w:ascii="Times New Roman" w:hAnsi="Times New Roman" w:cs="Times New Roman"/>
          <w:color w:val="333333"/>
          <w:sz w:val="26"/>
          <w:szCs w:val="26"/>
          <w:lang w:val="vi-VN"/>
        </w:rPr>
        <w:t xml:space="preserve">Thực ra, cho đến thời điểm hiện tại, pháp luật Việt Nam chưa hề có điều khoản nào đặt ra quy định nghiêm cấm nội dung thỏa thuận này, để từ đó có thể nói rằng, thoản thuận không cạnh tranh như vậy là thỏa thuận vô hiệu. Nhưng sở dĩ các tranh luận vẫn xảy ra là vì pháp luật Việt Nam cũng chưa có quy định khẳng định sự ghi nhận rõ ràng về nội dung thỏa thuận đó. </w:t>
      </w:r>
    </w:p>
    <w:p w14:paraId="17381E31" w14:textId="4482B78F" w:rsidR="00427346" w:rsidRPr="00B87971" w:rsidRDefault="00427346" w:rsidP="00F33E92">
      <w:pPr>
        <w:adjustRightInd w:val="0"/>
        <w:snapToGrid w:val="0"/>
        <w:spacing w:after="120" w:line="240" w:lineRule="auto"/>
        <w:ind w:firstLine="540"/>
        <w:jc w:val="both"/>
        <w:rPr>
          <w:rFonts w:ascii="Times New Roman" w:hAnsi="Times New Roman" w:cs="Times New Roman"/>
          <w:color w:val="333333"/>
          <w:sz w:val="26"/>
          <w:szCs w:val="26"/>
          <w:lang w:val="vi-VN"/>
        </w:rPr>
      </w:pPr>
      <w:r w:rsidRPr="00B87971">
        <w:rPr>
          <w:rFonts w:ascii="Times New Roman" w:hAnsi="Times New Roman" w:cs="Times New Roman"/>
          <w:color w:val="333333"/>
          <w:sz w:val="26"/>
          <w:szCs w:val="26"/>
          <w:lang w:val="vi-VN"/>
        </w:rPr>
        <w:t xml:space="preserve">Cụ thể, </w:t>
      </w:r>
      <w:r w:rsidR="00053F9C" w:rsidRPr="00B87971">
        <w:rPr>
          <w:rFonts w:ascii="Times New Roman" w:hAnsi="Times New Roman" w:cs="Times New Roman"/>
          <w:color w:val="333333"/>
          <w:sz w:val="26"/>
          <w:szCs w:val="26"/>
          <w:lang w:val="vi-VN"/>
        </w:rPr>
        <w:t>Bộ luật lao động năm 1994 bắt đầu mở ra cho người sử dụng lao động cơ hội bảo vệ bí mật công nghệ, sản xuất và kinh doanh của mình. Cụ thể, quy định tại điều 85.1.a của Bộ luật này lúc đó đã cho phép người sử dụng lao động được quyền sa thải người lao động nếu họ “tiết lộ bí mật công nghệ, kinh doanh”. Đây là một cơ chế bảo vệ lợi ích gián tiếp</w:t>
      </w:r>
      <w:r w:rsidR="00CA531A" w:rsidRPr="00B87971">
        <w:rPr>
          <w:rStyle w:val="FootnoteReference"/>
          <w:rFonts w:ascii="Times New Roman" w:hAnsi="Times New Roman" w:cs="Times New Roman"/>
          <w:sz w:val="26"/>
          <w:szCs w:val="26"/>
        </w:rPr>
        <w:footnoteReference w:id="31"/>
      </w:r>
      <w:r w:rsidR="00053F9C" w:rsidRPr="00B87971">
        <w:rPr>
          <w:rFonts w:ascii="Times New Roman" w:hAnsi="Times New Roman" w:cs="Times New Roman"/>
          <w:color w:val="333333"/>
          <w:sz w:val="26"/>
          <w:szCs w:val="26"/>
          <w:lang w:val="vi-VN"/>
        </w:rPr>
        <w:t xml:space="preserve"> và rõ ràng không đáp ứng nhu cầu điểu chỉnh kịp thời trước thực tiễn pháp lý vừa nêu. Bộ luật lao động 2012 vì vậy đã bổ sung một điều khoản có tính dứt khoát hơn về cơ chế bảo mật này. Cụ thể, kể từ thời điểm này NDA có cơ sở pháp lý để xuất hiện trong các </w:t>
      </w:r>
      <w:r w:rsidR="000304A7" w:rsidRPr="00B87971">
        <w:rPr>
          <w:rFonts w:ascii="Times New Roman" w:hAnsi="Times New Roman" w:cs="Times New Roman"/>
          <w:color w:val="333333"/>
          <w:sz w:val="26"/>
          <w:szCs w:val="26"/>
          <w:lang w:val="vi-VN"/>
        </w:rPr>
        <w:t>HĐLĐ</w:t>
      </w:r>
      <w:r w:rsidR="00053F9C" w:rsidRPr="00B87971">
        <w:rPr>
          <w:rFonts w:ascii="Times New Roman" w:hAnsi="Times New Roman" w:cs="Times New Roman"/>
          <w:color w:val="333333"/>
          <w:sz w:val="26"/>
          <w:szCs w:val="26"/>
          <w:lang w:val="vi-VN"/>
        </w:rPr>
        <w:t xml:space="preserve"> theo quy định tại điều 23.2 như sau:</w:t>
      </w:r>
    </w:p>
    <w:p w14:paraId="6BA708FD" w14:textId="138D00DB" w:rsidR="00053F9C" w:rsidRPr="00B87971" w:rsidRDefault="00053F9C" w:rsidP="003451C0">
      <w:pPr>
        <w:adjustRightInd w:val="0"/>
        <w:snapToGrid w:val="0"/>
        <w:spacing w:after="120" w:line="240" w:lineRule="auto"/>
        <w:ind w:firstLine="540"/>
        <w:jc w:val="both"/>
        <w:rPr>
          <w:rFonts w:ascii="Times New Roman" w:hAnsi="Times New Roman" w:cs="Times New Roman"/>
          <w:color w:val="333333"/>
          <w:sz w:val="26"/>
          <w:szCs w:val="26"/>
          <w:bdr w:val="none" w:sz="0" w:space="0" w:color="auto" w:frame="1"/>
          <w:lang w:val="nl-NL"/>
        </w:rPr>
      </w:pPr>
      <w:r w:rsidRPr="00B87971">
        <w:rPr>
          <w:rFonts w:ascii="Times New Roman" w:hAnsi="Times New Roman" w:cs="Times New Roman"/>
          <w:color w:val="333333"/>
          <w:sz w:val="26"/>
          <w:szCs w:val="26"/>
          <w:bdr w:val="none" w:sz="0" w:space="0" w:color="auto" w:frame="1"/>
          <w:lang w:val="nl-NL"/>
        </w:rPr>
        <w:t xml:space="preserve">Khi NLĐ làm việc có liên quan trực tiếp đến bí mật kinh doanh, bí mật công nghệ theo quy định của pháp luật, thì NSDLĐ có quyền thỏa thuận bằng văn bản với NLĐ về nội dung, thời hạn bảo vệ bí mật kinh doanh, bí mật công nghệ, quyền lợi và việc bồi thường trong trường hợp NLĐ vi phạm. </w:t>
      </w:r>
    </w:p>
    <w:p w14:paraId="1008D310" w14:textId="63472125" w:rsidR="00427346" w:rsidRPr="00B87971" w:rsidRDefault="00053F9C" w:rsidP="00F33E92">
      <w:pPr>
        <w:adjustRightInd w:val="0"/>
        <w:snapToGrid w:val="0"/>
        <w:spacing w:after="120" w:line="240" w:lineRule="auto"/>
        <w:ind w:firstLine="540"/>
        <w:jc w:val="both"/>
        <w:rPr>
          <w:rFonts w:ascii="Times New Roman" w:hAnsi="Times New Roman" w:cs="Times New Roman"/>
          <w:color w:val="333333"/>
          <w:sz w:val="26"/>
          <w:szCs w:val="26"/>
          <w:bdr w:val="none" w:sz="0" w:space="0" w:color="auto" w:frame="1"/>
          <w:lang w:val="nl-NL"/>
        </w:rPr>
      </w:pPr>
      <w:r w:rsidRPr="00B87971">
        <w:rPr>
          <w:rFonts w:ascii="Times New Roman" w:hAnsi="Times New Roman" w:cs="Times New Roman"/>
          <w:color w:val="333333"/>
          <w:sz w:val="26"/>
          <w:szCs w:val="26"/>
          <w:bdr w:val="none" w:sz="0" w:space="0" w:color="auto" w:frame="1"/>
          <w:lang w:val="nl-NL"/>
        </w:rPr>
        <w:tab/>
        <w:t xml:space="preserve">Về bản chất, đây đơn thuần là điều khoản về nghĩa vụ bảo mật của người lao động. Tuy nhiên, việc vận dụng điều khoản trên thực tế đã mở ra một phạm vi tiếp cận rộng hơn nhiều. Cụ thể, từ nội dung quy định này, nhiều </w:t>
      </w:r>
      <w:r w:rsidR="000304A7" w:rsidRPr="00B87971">
        <w:rPr>
          <w:rFonts w:ascii="Times New Roman" w:hAnsi="Times New Roman" w:cs="Times New Roman"/>
          <w:color w:val="333333"/>
          <w:sz w:val="26"/>
          <w:szCs w:val="26"/>
          <w:bdr w:val="none" w:sz="0" w:space="0" w:color="auto" w:frame="1"/>
          <w:lang w:val="nl-NL"/>
        </w:rPr>
        <w:t>HĐLĐ</w:t>
      </w:r>
      <w:r w:rsidRPr="00B87971">
        <w:rPr>
          <w:rFonts w:ascii="Times New Roman" w:hAnsi="Times New Roman" w:cs="Times New Roman"/>
          <w:color w:val="333333"/>
          <w:sz w:val="26"/>
          <w:szCs w:val="26"/>
          <w:bdr w:val="none" w:sz="0" w:space="0" w:color="auto" w:frame="1"/>
          <w:lang w:val="nl-NL"/>
        </w:rPr>
        <w:t xml:space="preserve"> đã gắn thêm nội dung hay chuyể</w:t>
      </w:r>
      <w:r w:rsidR="005543D0" w:rsidRPr="00B87971">
        <w:rPr>
          <w:rFonts w:ascii="Times New Roman" w:hAnsi="Times New Roman" w:cs="Times New Roman"/>
          <w:color w:val="333333"/>
          <w:sz w:val="26"/>
          <w:szCs w:val="26"/>
          <w:bdr w:val="none" w:sz="0" w:space="0" w:color="auto" w:frame="1"/>
          <w:lang w:val="nl-NL"/>
        </w:rPr>
        <w:t>n NDA</w:t>
      </w:r>
      <w:r w:rsidR="005543D0" w:rsidRPr="00B87971">
        <w:rPr>
          <w:rFonts w:ascii="Times New Roman" w:hAnsi="Times New Roman" w:cs="Times New Roman"/>
          <w:color w:val="333333"/>
          <w:sz w:val="26"/>
          <w:szCs w:val="26"/>
          <w:bdr w:val="none" w:sz="0" w:space="0" w:color="auto" w:frame="1"/>
          <w:lang w:val="vi-VN"/>
        </w:rPr>
        <w:t xml:space="preserve"> </w:t>
      </w:r>
      <w:r w:rsidRPr="00B87971">
        <w:rPr>
          <w:rFonts w:ascii="Times New Roman" w:hAnsi="Times New Roman" w:cs="Times New Roman"/>
          <w:color w:val="333333"/>
          <w:sz w:val="26"/>
          <w:szCs w:val="26"/>
          <w:bdr w:val="none" w:sz="0" w:space="0" w:color="auto" w:frame="1"/>
          <w:lang w:val="nl-NL"/>
        </w:rPr>
        <w:t>sang hẳn điều khoản về giới hạn kinh doanh</w:t>
      </w:r>
      <w:r w:rsidR="005543D0" w:rsidRPr="00B87971">
        <w:rPr>
          <w:rStyle w:val="FootnoteReference"/>
          <w:rFonts w:ascii="Times New Roman" w:hAnsi="Times New Roman" w:cs="Times New Roman"/>
          <w:sz w:val="26"/>
          <w:szCs w:val="26"/>
        </w:rPr>
        <w:footnoteReference w:id="32"/>
      </w:r>
      <w:r w:rsidRPr="00B87971">
        <w:rPr>
          <w:rFonts w:ascii="Times New Roman" w:hAnsi="Times New Roman" w:cs="Times New Roman"/>
          <w:color w:val="333333"/>
          <w:sz w:val="26"/>
          <w:szCs w:val="26"/>
          <w:bdr w:val="none" w:sz="0" w:space="0" w:color="auto" w:frame="1"/>
          <w:lang w:val="nl-NL"/>
        </w:rPr>
        <w:t xml:space="preserve">. Đây là phương thức vận dụng pháp luật không quá xa lạ từ kinh nghiệm </w:t>
      </w:r>
      <w:r w:rsidR="00033E04" w:rsidRPr="00B87971">
        <w:rPr>
          <w:rFonts w:ascii="Times New Roman" w:hAnsi="Times New Roman" w:cs="Times New Roman"/>
          <w:color w:val="333333"/>
          <w:sz w:val="26"/>
          <w:szCs w:val="26"/>
          <w:bdr w:val="none" w:sz="0" w:space="0" w:color="auto" w:frame="1"/>
          <w:lang w:val="nl-NL"/>
        </w:rPr>
        <w:t>các nước</w:t>
      </w:r>
      <w:r w:rsidRPr="00B87971">
        <w:rPr>
          <w:rFonts w:ascii="Times New Roman" w:hAnsi="Times New Roman" w:cs="Times New Roman"/>
          <w:color w:val="333333"/>
          <w:sz w:val="26"/>
          <w:szCs w:val="26"/>
          <w:bdr w:val="none" w:sz="0" w:space="0" w:color="auto" w:frame="1"/>
          <w:lang w:val="nl-NL"/>
        </w:rPr>
        <w:t xml:space="preserve"> vừa nêu ở trên. Nhưng có hai điểm khác biệt cần lưu ý là, (i) cho đến thời điểm hiện tại, Việt Nam vẫn chưa có quy định về các thỏa thuận giới hạn kinh doanh trong HĐLĐ, và (ii) </w:t>
      </w:r>
      <w:r w:rsidR="00F8670C" w:rsidRPr="00B87971">
        <w:rPr>
          <w:rFonts w:ascii="Times New Roman" w:hAnsi="Times New Roman" w:cs="Times New Roman"/>
          <w:color w:val="333333"/>
          <w:sz w:val="26"/>
          <w:szCs w:val="26"/>
          <w:bdr w:val="none" w:sz="0" w:space="0" w:color="auto" w:frame="1"/>
          <w:lang w:val="nl-NL"/>
        </w:rPr>
        <w:t>việc vận dụng NDA ở các nước cho thấy đây là một phần gắn liền hay là lý do để họ sử dụng thỏa thuận giới hạn kinh doanh.</w:t>
      </w:r>
      <w:r w:rsidR="00033E04" w:rsidRPr="00B87971">
        <w:rPr>
          <w:rFonts w:ascii="Times New Roman" w:hAnsi="Times New Roman" w:cs="Times New Roman"/>
          <w:color w:val="333333"/>
          <w:sz w:val="26"/>
          <w:szCs w:val="26"/>
          <w:bdr w:val="none" w:sz="0" w:space="0" w:color="auto" w:frame="1"/>
          <w:lang w:val="nl-NL"/>
        </w:rPr>
        <w:t xml:space="preserve"> Và vì vậy, tiếp cận của các nước dựa trên hai cơ sở này cũng đã không xuất hiện ở Việt Nam. Cụ thể, cách tiếp cận đó là: </w:t>
      </w:r>
      <w:r w:rsidR="00F8670C" w:rsidRPr="00B87971">
        <w:rPr>
          <w:rFonts w:ascii="Times New Roman" w:hAnsi="Times New Roman" w:cs="Times New Roman"/>
          <w:color w:val="333333"/>
          <w:sz w:val="26"/>
          <w:szCs w:val="26"/>
          <w:bdr w:val="none" w:sz="0" w:space="0" w:color="auto" w:frame="1"/>
          <w:lang w:val="nl-NL"/>
        </w:rPr>
        <w:t xml:space="preserve">Một, cam kết bảo mật thường là căn cứ để đánh giá lợi ích riêng biệt của người sử dụng lao động, tính thực tế và có thể bảo vệ của lợi ích đó. Và hai, họ có cơ chế để đánh giá tính hợp pháp (theo tính hợp lý) của điều khoản giới hạn kinh doanh. </w:t>
      </w:r>
    </w:p>
    <w:p w14:paraId="5849EC43" w14:textId="5E3DD979" w:rsidR="00F8670C" w:rsidRPr="00B87971" w:rsidRDefault="008B39CB"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Trở lại vụ việc xảy ra ở Việt Nam, cách tiếp cận của thế giới về vấn đề pháp lý này cần được tham khảo. </w:t>
      </w:r>
      <w:r w:rsidR="00F8670C" w:rsidRPr="00B87971">
        <w:rPr>
          <w:rFonts w:ascii="Times New Roman" w:hAnsi="Times New Roman" w:cs="Times New Roman"/>
          <w:color w:val="000000"/>
          <w:sz w:val="26"/>
          <w:szCs w:val="26"/>
          <w:shd w:val="clear" w:color="auto" w:fill="FFFFFF"/>
          <w:lang w:val="vi-VN"/>
        </w:rPr>
        <w:t>Rõ rằng, đ</w:t>
      </w:r>
      <w:r w:rsidRPr="00B87971">
        <w:rPr>
          <w:rFonts w:ascii="Times New Roman" w:hAnsi="Times New Roman" w:cs="Times New Roman"/>
          <w:color w:val="000000"/>
          <w:sz w:val="26"/>
          <w:szCs w:val="26"/>
          <w:shd w:val="clear" w:color="auto" w:fill="FFFFFF"/>
          <w:lang w:val="vi-VN"/>
        </w:rPr>
        <w:t>iều quan trọng không phải có hay không có điều khoản đó</w:t>
      </w:r>
      <w:r w:rsidR="00F8670C" w:rsidRPr="00B87971">
        <w:rPr>
          <w:rFonts w:ascii="Times New Roman" w:hAnsi="Times New Roman" w:cs="Times New Roman"/>
          <w:color w:val="000000"/>
          <w:sz w:val="26"/>
          <w:szCs w:val="26"/>
          <w:shd w:val="clear" w:color="auto" w:fill="FFFFFF"/>
          <w:lang w:val="vi-VN"/>
        </w:rPr>
        <w:t xml:space="preserve"> mà quan trọng là cần phải nhìn nhận tính c</w:t>
      </w:r>
      <w:r w:rsidRPr="00B87971">
        <w:rPr>
          <w:rFonts w:ascii="Times New Roman" w:hAnsi="Times New Roman" w:cs="Times New Roman"/>
          <w:color w:val="000000"/>
          <w:sz w:val="26"/>
          <w:szCs w:val="26"/>
          <w:shd w:val="clear" w:color="auto" w:fill="FFFFFF"/>
          <w:lang w:val="vi-VN"/>
        </w:rPr>
        <w:t xml:space="preserve">ông bằng và hiệu quả điều chỉnh pháp luật </w:t>
      </w:r>
      <w:r w:rsidR="00F8670C" w:rsidRPr="00B87971">
        <w:rPr>
          <w:rFonts w:ascii="Times New Roman" w:hAnsi="Times New Roman" w:cs="Times New Roman"/>
          <w:color w:val="000000"/>
          <w:sz w:val="26"/>
          <w:szCs w:val="26"/>
          <w:shd w:val="clear" w:color="auto" w:fill="FFFFFF"/>
          <w:lang w:val="vi-VN"/>
        </w:rPr>
        <w:lastRenderedPageBreak/>
        <w:t xml:space="preserve">thông qua việc đánh giá tính hợp lý trong nội dung thỏa thuận khi điều khoản này được vận dụng. Từ kinh nghiệm của các nước, qua liên hệ với thực tiễn pháp lý ở Việt Nam, bài viết xin đưa ra một số gợi ý bước đầu về việc tiếp cận và bổ sung quy định pháp luật có liên quan. </w:t>
      </w:r>
    </w:p>
    <w:p w14:paraId="05CCEAE0" w14:textId="456F627C" w:rsidR="00F8670C" w:rsidRPr="00B87971" w:rsidRDefault="00987AA8"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Một, Việt Nam cần tiếp tục duy trì nội dung quy định về điều khoản giới hạn kinh doanh trong </w:t>
      </w:r>
      <w:r w:rsidR="000304A7" w:rsidRPr="00B87971">
        <w:rPr>
          <w:rFonts w:ascii="Times New Roman" w:hAnsi="Times New Roman" w:cs="Times New Roman"/>
          <w:color w:val="000000"/>
          <w:sz w:val="26"/>
          <w:szCs w:val="26"/>
          <w:shd w:val="clear" w:color="auto" w:fill="FFFFFF"/>
          <w:lang w:val="vi-VN"/>
        </w:rPr>
        <w:t>HĐLĐ</w:t>
      </w:r>
      <w:r w:rsidRPr="00B87971">
        <w:rPr>
          <w:rFonts w:ascii="Times New Roman" w:hAnsi="Times New Roman" w:cs="Times New Roman"/>
          <w:color w:val="000000"/>
          <w:sz w:val="26"/>
          <w:szCs w:val="26"/>
          <w:shd w:val="clear" w:color="auto" w:fill="FFFFFF"/>
          <w:lang w:val="vi-VN"/>
        </w:rPr>
        <w:t xml:space="preserve"> trong Bộ luật lao động. Luật cạnh tranh, với chức năng của mình, sẽ kiểm soát nhóm thoả thuận giới hạn kinh doanh thứ nhất. Nhóm thỏa thuận giới hạn kinh doanh thứ hai với căn cứ thẩm định đối chiếu là </w:t>
      </w:r>
      <w:r w:rsidR="000D40CB" w:rsidRPr="00B87971">
        <w:rPr>
          <w:rFonts w:ascii="Times New Roman" w:hAnsi="Times New Roman" w:cs="Times New Roman"/>
          <w:color w:val="000000"/>
          <w:sz w:val="26"/>
          <w:szCs w:val="26"/>
          <w:shd w:val="clear" w:color="auto" w:fill="FFFFFF"/>
          <w:lang w:val="vi-VN"/>
        </w:rPr>
        <w:t xml:space="preserve">trật tự công cộng và chính sách công sẽ tiếp tục được đề cập trong Bộ luật dân sự. </w:t>
      </w:r>
    </w:p>
    <w:p w14:paraId="7BE80A9D" w14:textId="7FB2C780" w:rsidR="000E3C4D" w:rsidRPr="00B87971" w:rsidRDefault="000D40CB"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Hai, </w:t>
      </w:r>
      <w:r w:rsidR="00B94594" w:rsidRPr="00B87971">
        <w:rPr>
          <w:rFonts w:ascii="Times New Roman" w:hAnsi="Times New Roman" w:cs="Times New Roman"/>
          <w:color w:val="000000"/>
          <w:sz w:val="26"/>
          <w:szCs w:val="26"/>
          <w:shd w:val="clear" w:color="auto" w:fill="FFFFFF"/>
          <w:lang w:val="vi-VN"/>
        </w:rPr>
        <w:t xml:space="preserve">quy định việc áp dụng điều khoản cần bảo đảm tính minh bạch và công bằng. Cụ thể, chỉ chấp nhận giá trị pháp của điều khoản khi thoả mãn đầy đủ các điều kiện. Một số điều kiện cần được lưu ý là: </w:t>
      </w:r>
      <w:r w:rsidR="003A6C72" w:rsidRPr="00B87971">
        <w:rPr>
          <w:rFonts w:ascii="Times New Roman" w:hAnsi="Times New Roman" w:cs="Times New Roman"/>
          <w:color w:val="000000"/>
          <w:sz w:val="26"/>
          <w:szCs w:val="26"/>
          <w:shd w:val="clear" w:color="auto" w:fill="FFFFFF"/>
          <w:lang w:val="vi-VN"/>
        </w:rPr>
        <w:t>điều khoản được đưa ra trước</w:t>
      </w:r>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ngay</w:t>
      </w:r>
      <w:proofErr w:type="spellEnd"/>
      <w:r w:rsidR="003A6C72" w:rsidRPr="00B87971">
        <w:rPr>
          <w:rFonts w:ascii="Times New Roman" w:hAnsi="Times New Roman" w:cs="Times New Roman"/>
          <w:color w:val="000000"/>
          <w:sz w:val="26"/>
          <w:szCs w:val="26"/>
          <w:shd w:val="clear" w:color="auto" w:fill="FFFFFF"/>
          <w:lang w:val="vi-VN"/>
        </w:rPr>
        <w:t xml:space="preserve"> khi giới </w:t>
      </w:r>
      <w:proofErr w:type="spellStart"/>
      <w:r w:rsidR="00033E04" w:rsidRPr="00B87971">
        <w:rPr>
          <w:rFonts w:ascii="Times New Roman" w:hAnsi="Times New Roman" w:cs="Times New Roman"/>
          <w:color w:val="000000"/>
          <w:sz w:val="26"/>
          <w:szCs w:val="26"/>
          <w:shd w:val="clear" w:color="auto" w:fill="FFFFFF"/>
        </w:rPr>
        <w:t>thiệu</w:t>
      </w:r>
      <w:proofErr w:type="spellEnd"/>
      <w:r w:rsidR="00033E04" w:rsidRPr="00B87971">
        <w:rPr>
          <w:rFonts w:ascii="Times New Roman" w:hAnsi="Times New Roman" w:cs="Times New Roman"/>
          <w:color w:val="000000"/>
          <w:sz w:val="26"/>
          <w:szCs w:val="26"/>
          <w:shd w:val="clear" w:color="auto" w:fill="FFFFFF"/>
        </w:rPr>
        <w:t xml:space="preserve"> </w:t>
      </w:r>
      <w:r w:rsidR="003A6C72" w:rsidRPr="00B87971">
        <w:rPr>
          <w:rFonts w:ascii="Times New Roman" w:hAnsi="Times New Roman" w:cs="Times New Roman"/>
          <w:color w:val="000000"/>
          <w:sz w:val="26"/>
          <w:szCs w:val="26"/>
          <w:shd w:val="clear" w:color="auto" w:fill="FFFFFF"/>
          <w:lang w:val="vi-VN"/>
        </w:rPr>
        <w:t>việc làm; những ưu đãi đặc biệt</w:t>
      </w:r>
      <w:r w:rsidR="000E3C4D" w:rsidRPr="00B87971">
        <w:rPr>
          <w:rFonts w:ascii="Times New Roman" w:hAnsi="Times New Roman" w:cs="Times New Roman"/>
          <w:color w:val="000000"/>
          <w:sz w:val="26"/>
          <w:szCs w:val="26"/>
          <w:shd w:val="clear" w:color="auto" w:fill="FFFFFF"/>
          <w:lang w:val="vi-VN"/>
        </w:rPr>
        <w:t xml:space="preserve"> đ</w:t>
      </w:r>
      <w:r w:rsidR="003D0370" w:rsidRPr="00B87971">
        <w:rPr>
          <w:rFonts w:ascii="Times New Roman" w:hAnsi="Times New Roman" w:cs="Times New Roman"/>
          <w:color w:val="000000"/>
          <w:sz w:val="26"/>
          <w:szCs w:val="26"/>
          <w:shd w:val="clear" w:color="auto" w:fill="FFFFFF"/>
        </w:rPr>
        <w:t>ể</w:t>
      </w:r>
      <w:r w:rsidR="000E3C4D" w:rsidRPr="00B87971">
        <w:rPr>
          <w:rFonts w:ascii="Times New Roman" w:hAnsi="Times New Roman" w:cs="Times New Roman"/>
          <w:color w:val="000000"/>
          <w:sz w:val="26"/>
          <w:szCs w:val="26"/>
          <w:shd w:val="clear" w:color="auto" w:fill="FFFFFF"/>
          <w:lang w:val="vi-VN"/>
        </w:rPr>
        <w:t xml:space="preserve"> bù đắp quyền lợi của người lao động</w:t>
      </w:r>
      <w:r w:rsidR="003A6C72" w:rsidRPr="00B87971">
        <w:rPr>
          <w:rFonts w:ascii="Times New Roman" w:hAnsi="Times New Roman" w:cs="Times New Roman"/>
          <w:color w:val="000000"/>
          <w:sz w:val="26"/>
          <w:szCs w:val="26"/>
          <w:shd w:val="clear" w:color="auto" w:fill="FFFFFF"/>
          <w:lang w:val="vi-VN"/>
        </w:rPr>
        <w:t xml:space="preserve"> </w:t>
      </w:r>
      <w:r w:rsidR="00033E04" w:rsidRPr="00B87971">
        <w:rPr>
          <w:rFonts w:ascii="Times New Roman" w:hAnsi="Times New Roman" w:cs="Times New Roman"/>
          <w:color w:val="000000"/>
          <w:sz w:val="26"/>
          <w:szCs w:val="26"/>
          <w:shd w:val="clear" w:color="auto" w:fill="FFFFFF"/>
        </w:rPr>
        <w:t xml:space="preserve">ở </w:t>
      </w:r>
      <w:proofErr w:type="spellStart"/>
      <w:r w:rsidR="00033E04" w:rsidRPr="00B87971">
        <w:rPr>
          <w:rFonts w:ascii="Times New Roman" w:hAnsi="Times New Roman" w:cs="Times New Roman"/>
          <w:color w:val="000000"/>
          <w:sz w:val="26"/>
          <w:szCs w:val="26"/>
          <w:shd w:val="clear" w:color="auto" w:fill="FFFFFF"/>
        </w:rPr>
        <w:t>mức</w:t>
      </w:r>
      <w:proofErr w:type="spellEnd"/>
      <w:r w:rsidR="00033E04" w:rsidRPr="00B87971">
        <w:rPr>
          <w:rFonts w:ascii="Times New Roman" w:hAnsi="Times New Roman" w:cs="Times New Roman"/>
          <w:color w:val="000000"/>
          <w:sz w:val="26"/>
          <w:szCs w:val="26"/>
          <w:shd w:val="clear" w:color="auto" w:fill="FFFFFF"/>
        </w:rPr>
        <w:t xml:space="preserve"> </w:t>
      </w:r>
      <w:r w:rsidR="003A6C72" w:rsidRPr="00B87971">
        <w:rPr>
          <w:rFonts w:ascii="Times New Roman" w:hAnsi="Times New Roman" w:cs="Times New Roman"/>
          <w:color w:val="000000"/>
          <w:sz w:val="26"/>
          <w:szCs w:val="26"/>
          <w:shd w:val="clear" w:color="auto" w:fill="FFFFFF"/>
          <w:lang w:val="vi-VN"/>
        </w:rPr>
        <w:t xml:space="preserve">chấp nhận được; </w:t>
      </w:r>
      <w:proofErr w:type="spellStart"/>
      <w:r w:rsidR="00033E04" w:rsidRPr="00B87971">
        <w:rPr>
          <w:rFonts w:ascii="Times New Roman" w:hAnsi="Times New Roman" w:cs="Times New Roman"/>
          <w:color w:val="000000"/>
          <w:sz w:val="26"/>
          <w:szCs w:val="26"/>
          <w:shd w:val="clear" w:color="auto" w:fill="FFFFFF"/>
        </w:rPr>
        <w:t>điều</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kiện</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cần</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thiết</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để</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người</w:t>
      </w:r>
      <w:proofErr w:type="spellEnd"/>
      <w:r w:rsidR="00033E04" w:rsidRPr="00B87971">
        <w:rPr>
          <w:rFonts w:ascii="Times New Roman" w:hAnsi="Times New Roman" w:cs="Times New Roman"/>
          <w:color w:val="000000"/>
          <w:sz w:val="26"/>
          <w:szCs w:val="26"/>
          <w:shd w:val="clear" w:color="auto" w:fill="FFFFFF"/>
        </w:rPr>
        <w:t xml:space="preserve"> la </w:t>
      </w:r>
      <w:proofErr w:type="spellStart"/>
      <w:r w:rsidR="00033E04" w:rsidRPr="00B87971">
        <w:rPr>
          <w:rFonts w:ascii="Times New Roman" w:hAnsi="Times New Roman" w:cs="Times New Roman"/>
          <w:color w:val="000000"/>
          <w:sz w:val="26"/>
          <w:szCs w:val="26"/>
          <w:shd w:val="clear" w:color="auto" w:fill="FFFFFF"/>
        </w:rPr>
        <w:t>động</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có</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thể</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tiếp</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tục</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làm</w:t>
      </w:r>
      <w:proofErr w:type="spellEnd"/>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việc</w:t>
      </w:r>
      <w:proofErr w:type="spellEnd"/>
      <w:r w:rsidR="000E3C4D" w:rsidRPr="00B87971">
        <w:rPr>
          <w:rFonts w:ascii="Times New Roman" w:hAnsi="Times New Roman" w:cs="Times New Roman"/>
          <w:color w:val="000000"/>
          <w:sz w:val="26"/>
          <w:szCs w:val="26"/>
          <w:shd w:val="clear" w:color="auto" w:fill="FFFFFF"/>
          <w:lang w:val="vi-VN"/>
        </w:rPr>
        <w:t xml:space="preserve">; và khuyến khích người sử dụng lao động giới thiệu trước </w:t>
      </w:r>
      <w:proofErr w:type="spellStart"/>
      <w:r w:rsidR="00033E04" w:rsidRPr="00B87971">
        <w:rPr>
          <w:rFonts w:ascii="Times New Roman" w:hAnsi="Times New Roman" w:cs="Times New Roman"/>
          <w:color w:val="000000"/>
          <w:sz w:val="26"/>
          <w:szCs w:val="26"/>
          <w:shd w:val="clear" w:color="auto" w:fill="FFFFFF"/>
        </w:rPr>
        <w:t>các</w:t>
      </w:r>
      <w:proofErr w:type="spellEnd"/>
      <w:r w:rsidR="00033E04" w:rsidRPr="00B87971">
        <w:rPr>
          <w:rFonts w:ascii="Times New Roman" w:hAnsi="Times New Roman" w:cs="Times New Roman"/>
          <w:color w:val="000000"/>
          <w:sz w:val="26"/>
          <w:szCs w:val="26"/>
          <w:shd w:val="clear" w:color="auto" w:fill="FFFFFF"/>
        </w:rPr>
        <w:t xml:space="preserve"> </w:t>
      </w:r>
      <w:r w:rsidR="000E3C4D" w:rsidRPr="00B87971">
        <w:rPr>
          <w:rFonts w:ascii="Times New Roman" w:hAnsi="Times New Roman" w:cs="Times New Roman"/>
          <w:color w:val="000000"/>
          <w:sz w:val="26"/>
          <w:szCs w:val="26"/>
          <w:shd w:val="clear" w:color="auto" w:fill="FFFFFF"/>
          <w:lang w:val="vi-VN"/>
        </w:rPr>
        <w:t>quy định pháp luật có liên quan</w:t>
      </w:r>
      <w:r w:rsidR="00033E04" w:rsidRPr="00B87971">
        <w:rPr>
          <w:rFonts w:ascii="Times New Roman" w:hAnsi="Times New Roman" w:cs="Times New Roman"/>
          <w:color w:val="000000"/>
          <w:sz w:val="26"/>
          <w:szCs w:val="26"/>
          <w:shd w:val="clear" w:color="auto" w:fill="FFFFFF"/>
        </w:rPr>
        <w:t xml:space="preserve"> </w:t>
      </w:r>
      <w:proofErr w:type="spellStart"/>
      <w:r w:rsidR="00033E04" w:rsidRPr="00B87971">
        <w:rPr>
          <w:rFonts w:ascii="Times New Roman" w:hAnsi="Times New Roman" w:cs="Times New Roman"/>
          <w:color w:val="000000"/>
          <w:sz w:val="26"/>
          <w:szCs w:val="26"/>
          <w:shd w:val="clear" w:color="auto" w:fill="FFFFFF"/>
        </w:rPr>
        <w:t>khác</w:t>
      </w:r>
      <w:proofErr w:type="spellEnd"/>
      <w:r w:rsidR="000E3C4D" w:rsidRPr="00B87971">
        <w:rPr>
          <w:rFonts w:ascii="Times New Roman" w:hAnsi="Times New Roman" w:cs="Times New Roman"/>
          <w:color w:val="000000"/>
          <w:sz w:val="26"/>
          <w:szCs w:val="26"/>
          <w:shd w:val="clear" w:color="auto" w:fill="FFFFFF"/>
          <w:lang w:val="vi-VN"/>
        </w:rPr>
        <w:t xml:space="preserve"> về điều khoản này. Đây chính là những đề xuất mà chính quyền liên bang Hoa kỳ đặt ra đối với các tiểu bang trong việc áp dụng điều khoản không cạnh tranh trong </w:t>
      </w:r>
      <w:r w:rsidR="000304A7" w:rsidRPr="00B87971">
        <w:rPr>
          <w:rFonts w:ascii="Times New Roman" w:hAnsi="Times New Roman" w:cs="Times New Roman"/>
          <w:color w:val="000000"/>
          <w:sz w:val="26"/>
          <w:szCs w:val="26"/>
          <w:shd w:val="clear" w:color="auto" w:fill="FFFFFF"/>
          <w:lang w:val="vi-VN"/>
        </w:rPr>
        <w:t>HĐLĐ</w:t>
      </w:r>
      <w:r w:rsidR="000E3C4D" w:rsidRPr="00B87971">
        <w:rPr>
          <w:rStyle w:val="FootnoteReference"/>
          <w:rFonts w:ascii="Times New Roman" w:hAnsi="Times New Roman" w:cs="Times New Roman"/>
          <w:sz w:val="26"/>
          <w:szCs w:val="26"/>
        </w:rPr>
        <w:footnoteReference w:id="33"/>
      </w:r>
      <w:r w:rsidR="000E3C4D" w:rsidRPr="00B87971">
        <w:rPr>
          <w:rFonts w:ascii="Times New Roman" w:hAnsi="Times New Roman" w:cs="Times New Roman"/>
          <w:color w:val="000000"/>
          <w:sz w:val="26"/>
          <w:szCs w:val="26"/>
          <w:shd w:val="clear" w:color="auto" w:fill="FFFFFF"/>
          <w:lang w:val="vi-VN"/>
        </w:rPr>
        <w:t xml:space="preserve">. </w:t>
      </w:r>
    </w:p>
    <w:p w14:paraId="1E0BBF12" w14:textId="7675F6AD" w:rsidR="00592629" w:rsidRPr="00B87971" w:rsidRDefault="000E3C4D"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Ba, theo kinh nghiệm của các nước, trong giai đoạn</w:t>
      </w:r>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đầu</w:t>
      </w:r>
      <w:proofErr w:type="spellEnd"/>
      <w:r w:rsidRPr="00B87971">
        <w:rPr>
          <w:rFonts w:ascii="Times New Roman" w:hAnsi="Times New Roman" w:cs="Times New Roman"/>
          <w:color w:val="000000"/>
          <w:sz w:val="26"/>
          <w:szCs w:val="26"/>
          <w:shd w:val="clear" w:color="auto" w:fill="FFFFFF"/>
          <w:lang w:val="vi-VN"/>
        </w:rPr>
        <w:t xml:space="preserve">, Việt Nam có thể giới hạn phạm vi lĩnh vực lao động được áp dụng điều khoản. Việc tiếp cận có thể theo hướng liệt kê các lĩnh vực không cần thiết phải có sự hiện diện của điều khoản. </w:t>
      </w:r>
      <w:proofErr w:type="spellStart"/>
      <w:r w:rsidR="00893F3D" w:rsidRPr="00B87971">
        <w:rPr>
          <w:rFonts w:ascii="Times New Roman" w:hAnsi="Times New Roman" w:cs="Times New Roman"/>
          <w:color w:val="000000"/>
          <w:sz w:val="26"/>
          <w:szCs w:val="26"/>
          <w:shd w:val="clear" w:color="auto" w:fill="FFFFFF"/>
        </w:rPr>
        <w:t>Đó</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có</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thể</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là</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lĩnh</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vực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được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xác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định</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theo</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mức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thu</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nhập</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nhất</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định</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thường</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là</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lĩnh</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vực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có</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thu</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nhập</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cao</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hơn</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mức</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trungn</w:t>
      </w:r>
      <w:proofErr w:type="spellEnd"/>
      <w:r w:rsidR="00893F3D" w:rsidRPr="00B87971">
        <w:rPr>
          <w:rFonts w:ascii="Times New Roman" w:hAnsi="Times New Roman" w:cs="Times New Roman"/>
          <w:color w:val="000000"/>
          <w:sz w:val="26"/>
          <w:szCs w:val="26"/>
          <w:shd w:val="clear" w:color="auto" w:fill="FFFFFF"/>
        </w:rPr>
        <w:t xml:space="preserve"> </w:t>
      </w:r>
      <w:proofErr w:type="spellStart"/>
      <w:r w:rsidR="00893F3D" w:rsidRPr="00B87971">
        <w:rPr>
          <w:rFonts w:ascii="Times New Roman" w:hAnsi="Times New Roman" w:cs="Times New Roman"/>
          <w:color w:val="000000"/>
          <w:sz w:val="26"/>
          <w:szCs w:val="26"/>
          <w:shd w:val="clear" w:color="auto" w:fill="FFFFFF"/>
        </w:rPr>
        <w:t>bình</w:t>
      </w:r>
      <w:proofErr w:type="spellEnd"/>
      <w:r w:rsidR="00893F3D" w:rsidRPr="00B87971">
        <w:rPr>
          <w:rFonts w:ascii="Times New Roman" w:hAnsi="Times New Roman" w:cs="Times New Roman"/>
          <w:color w:val="000000"/>
          <w:sz w:val="26"/>
          <w:szCs w:val="26"/>
          <w:shd w:val="clear" w:color="auto" w:fill="FFFFFF"/>
        </w:rPr>
        <w:t>),</w:t>
      </w:r>
      <w:r w:rsidRPr="00B87971">
        <w:rPr>
          <w:rFonts w:ascii="Times New Roman" w:hAnsi="Times New Roman" w:cs="Times New Roman"/>
          <w:color w:val="000000"/>
          <w:sz w:val="26"/>
          <w:szCs w:val="26"/>
          <w:shd w:val="clear" w:color="auto" w:fill="FFFFFF"/>
          <w:lang w:val="vi-VN"/>
        </w:rPr>
        <w:t xml:space="preserve"> việc làm cung ứng dịch vụ chăm sóc sức khoẻ, đặc biệt là dịch vụ công, và bảo đảm tính an toàn, bền vững; đối với người lao động không ham muốn tiếp cận thông tin bí mật kinh doanh; hay đối với người lao động bị sa thải. </w:t>
      </w:r>
    </w:p>
    <w:p w14:paraId="4AF77ED9" w14:textId="3F969FEF" w:rsidR="000E3C4D" w:rsidRPr="00B87971" w:rsidRDefault="004066DC" w:rsidP="00F33E92">
      <w:pPr>
        <w:adjustRightInd w:val="0"/>
        <w:snapToGrid w:val="0"/>
        <w:spacing w:after="120" w:line="240" w:lineRule="auto"/>
        <w:ind w:firstLine="540"/>
        <w:jc w:val="both"/>
        <w:rPr>
          <w:rFonts w:ascii="Times New Roman" w:hAnsi="Times New Roman" w:cs="Times New Roman"/>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Bốn</w:t>
      </w:r>
      <w:r w:rsidR="005543D0" w:rsidRPr="00B87971">
        <w:rPr>
          <w:rFonts w:ascii="Times New Roman" w:hAnsi="Times New Roman" w:cs="Times New Roman"/>
          <w:color w:val="000000"/>
          <w:sz w:val="26"/>
          <w:szCs w:val="26"/>
          <w:shd w:val="clear" w:color="auto" w:fill="FFFFFF"/>
          <w:lang w:val="vi-VN"/>
        </w:rPr>
        <w:t xml:space="preserve">, </w:t>
      </w:r>
      <w:r w:rsidR="00592629" w:rsidRPr="00B87971">
        <w:rPr>
          <w:rFonts w:ascii="Times New Roman" w:hAnsi="Times New Roman" w:cs="Times New Roman"/>
          <w:color w:val="000000"/>
          <w:sz w:val="26"/>
          <w:szCs w:val="26"/>
          <w:shd w:val="clear" w:color="auto" w:fill="FFFFFF"/>
          <w:lang w:val="vi-VN"/>
        </w:rPr>
        <w:t xml:space="preserve">việc ghi nhận điều khoản giới hạn kinh doanh trong </w:t>
      </w:r>
      <w:r w:rsidR="000304A7" w:rsidRPr="00B87971">
        <w:rPr>
          <w:rFonts w:ascii="Times New Roman" w:hAnsi="Times New Roman" w:cs="Times New Roman"/>
          <w:color w:val="000000"/>
          <w:sz w:val="26"/>
          <w:szCs w:val="26"/>
          <w:shd w:val="clear" w:color="auto" w:fill="FFFFFF"/>
          <w:lang w:val="vi-VN"/>
        </w:rPr>
        <w:t>HĐLĐ</w:t>
      </w:r>
      <w:r w:rsidR="00592629" w:rsidRPr="00B87971">
        <w:rPr>
          <w:rFonts w:ascii="Times New Roman" w:hAnsi="Times New Roman" w:cs="Times New Roman"/>
          <w:color w:val="000000"/>
          <w:sz w:val="26"/>
          <w:szCs w:val="26"/>
          <w:shd w:val="clear" w:color="auto" w:fill="FFFFFF"/>
          <w:lang w:val="vi-VN"/>
        </w:rPr>
        <w:t xml:space="preserve"> cần đặt ra đòi hỏi về việc chi trả phần bù cho những giới hạn mà người lao động phải gánh chịu. Cụ thể, ngoài thoả thuận về tiền lương, </w:t>
      </w:r>
      <w:r w:rsidR="000304A7" w:rsidRPr="00B87971">
        <w:rPr>
          <w:rFonts w:ascii="Times New Roman" w:hAnsi="Times New Roman" w:cs="Times New Roman"/>
          <w:color w:val="000000"/>
          <w:sz w:val="26"/>
          <w:szCs w:val="26"/>
          <w:shd w:val="clear" w:color="auto" w:fill="FFFFFF"/>
          <w:lang w:val="vi-VN"/>
        </w:rPr>
        <w:t>HĐLĐ</w:t>
      </w:r>
      <w:r w:rsidR="00592629" w:rsidRPr="00B87971">
        <w:rPr>
          <w:rFonts w:ascii="Times New Roman" w:hAnsi="Times New Roman" w:cs="Times New Roman"/>
          <w:color w:val="000000"/>
          <w:sz w:val="26"/>
          <w:szCs w:val="26"/>
          <w:shd w:val="clear" w:color="auto" w:fill="FFFFFF"/>
          <w:lang w:val="vi-VN"/>
        </w:rPr>
        <w:t xml:space="preserve"> cần phải thể hiện rõ khoản chi trả của người sử dụng lao động đối với người lao động trước những giới hạn mà họ đã đặt </w:t>
      </w:r>
      <w:r w:rsidRPr="00B87971">
        <w:rPr>
          <w:rFonts w:ascii="Times New Roman" w:hAnsi="Times New Roman" w:cs="Times New Roman"/>
          <w:color w:val="000000"/>
          <w:sz w:val="26"/>
          <w:szCs w:val="26"/>
          <w:shd w:val="clear" w:color="auto" w:fill="FFFFFF"/>
          <w:lang w:val="vi-VN"/>
        </w:rPr>
        <w:t xml:space="preserve">ra. Điều quan trọng, đây cũng chính là cơ sở để cơ quan tài phán xem xét khoản bồi thường hợp lý mà người lao động phải trả cho người sử dụng lao động trong trường hợp vi phạm cam kết. </w:t>
      </w:r>
    </w:p>
    <w:p w14:paraId="7A303DC8" w14:textId="51CEE9FB" w:rsidR="00362A56" w:rsidRPr="00B87971" w:rsidRDefault="004066DC" w:rsidP="00F33E92">
      <w:pPr>
        <w:adjustRightInd w:val="0"/>
        <w:snapToGrid w:val="0"/>
        <w:spacing w:after="120" w:line="240" w:lineRule="auto"/>
        <w:ind w:firstLine="540"/>
        <w:jc w:val="both"/>
        <w:rPr>
          <w:rFonts w:ascii="Times New Roman" w:hAnsi="Times New Roman" w:cs="Times New Roman"/>
          <w:b/>
          <w:color w:val="000000"/>
          <w:sz w:val="26"/>
          <w:szCs w:val="26"/>
          <w:shd w:val="clear" w:color="auto" w:fill="FFFFFF"/>
          <w:lang w:val="vi-VN"/>
        </w:rPr>
      </w:pPr>
      <w:r w:rsidRPr="00B87971">
        <w:rPr>
          <w:rFonts w:ascii="Times New Roman" w:hAnsi="Times New Roman" w:cs="Times New Roman"/>
          <w:color w:val="000000"/>
          <w:sz w:val="26"/>
          <w:szCs w:val="26"/>
          <w:shd w:val="clear" w:color="auto" w:fill="FFFFFF"/>
          <w:lang w:val="vi-VN"/>
        </w:rPr>
        <w:t xml:space="preserve">Và cuối cùng, Việt Nam cần thiết phải nghiên cứu về tính hợp lý trong phạm vi giới hạn. Nhà làm luật không thể đưa ra một hạn định duy nhất cho mọi trường hợp. Tuy nhỉên, giới hạn về khoảng thời gia tối đa như cách tiếp cận của nhiều nước cần được tham khảo. </w:t>
      </w:r>
      <w:r w:rsidR="00A93E34" w:rsidRPr="00B87971">
        <w:rPr>
          <w:rFonts w:ascii="Times New Roman" w:hAnsi="Times New Roman" w:cs="Times New Roman"/>
          <w:color w:val="000000"/>
          <w:sz w:val="26"/>
          <w:szCs w:val="26"/>
          <w:shd w:val="clear" w:color="auto" w:fill="FFFFFF"/>
          <w:lang w:val="vi-VN"/>
        </w:rPr>
        <w:t>Đặc biệt, v</w:t>
      </w:r>
      <w:r w:rsidRPr="00B87971">
        <w:rPr>
          <w:rFonts w:ascii="Times New Roman" w:hAnsi="Times New Roman" w:cs="Times New Roman"/>
          <w:color w:val="000000"/>
          <w:sz w:val="26"/>
          <w:szCs w:val="26"/>
          <w:shd w:val="clear" w:color="auto" w:fill="FFFFFF"/>
          <w:lang w:val="vi-VN"/>
        </w:rPr>
        <w:t>iệc đặt ra khung thời gian hạn định này còn là</w:t>
      </w:r>
      <w:r w:rsidR="00A93E34" w:rsidRPr="00B87971">
        <w:rPr>
          <w:rFonts w:ascii="Times New Roman" w:hAnsi="Times New Roman" w:cs="Times New Roman"/>
          <w:color w:val="000000"/>
          <w:sz w:val="26"/>
          <w:szCs w:val="26"/>
          <w:shd w:val="clear" w:color="auto" w:fill="FFFFFF"/>
          <w:lang w:val="vi-VN"/>
        </w:rPr>
        <w:t xml:space="preserve"> cơ sở cho việc thiết lập mức bù đắp về lợi ích vật chất vừa đề cập ở trên, và tiếp theo đó là cơ sở để cơ quan tài phán đánh giá về sự cân bằng hợp lý lợi ích giữa các bên khi tranh chấp xảy ra. </w:t>
      </w:r>
    </w:p>
    <w:p w14:paraId="5694F06B" w14:textId="77777777" w:rsidR="00AD2A36" w:rsidRPr="00B87971" w:rsidRDefault="00AD2A36" w:rsidP="00AD2A36">
      <w:pPr>
        <w:pBdr>
          <w:bottom w:val="single" w:sz="8" w:space="1" w:color="000000"/>
        </w:pBdr>
        <w:spacing w:before="120" w:after="120" w:line="276" w:lineRule="auto"/>
        <w:ind w:firstLine="567"/>
        <w:jc w:val="both"/>
      </w:pPr>
    </w:p>
    <w:p w14:paraId="15C5689E" w14:textId="134DA408" w:rsidR="00ED1850" w:rsidRPr="00B87971" w:rsidRDefault="00AD2A36" w:rsidP="00507BAC">
      <w:pPr>
        <w:adjustRightInd w:val="0"/>
        <w:snapToGrid w:val="0"/>
        <w:spacing w:after="0" w:line="276" w:lineRule="auto"/>
        <w:jc w:val="both"/>
        <w:rPr>
          <w:rFonts w:ascii="Times New Roman" w:hAnsi="Times New Roman" w:cs="Times New Roman"/>
          <w:b/>
          <w:color w:val="000000"/>
          <w:sz w:val="24"/>
          <w:szCs w:val="24"/>
          <w:shd w:val="clear" w:color="auto" w:fill="FFFFFF"/>
        </w:rPr>
      </w:pPr>
      <w:r w:rsidRPr="00B87971">
        <w:rPr>
          <w:rFonts w:ascii="Times New Roman" w:hAnsi="Times New Roman" w:cs="Times New Roman"/>
          <w:b/>
          <w:color w:val="000000"/>
          <w:sz w:val="24"/>
          <w:szCs w:val="24"/>
          <w:shd w:val="clear" w:color="auto" w:fill="FFFFFF"/>
        </w:rPr>
        <w:t>TÀI LIỆU THAM KHẢO</w:t>
      </w:r>
    </w:p>
    <w:p w14:paraId="2EF55EEA" w14:textId="6C1822B9" w:rsidR="00542E3E" w:rsidRPr="00B87971" w:rsidRDefault="00ED1850"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color w:val="000000"/>
          <w:sz w:val="24"/>
          <w:szCs w:val="24"/>
          <w:shd w:val="clear" w:color="auto" w:fill="FFFFFF"/>
          <w:lang w:val="vi-VN"/>
        </w:rPr>
        <w:lastRenderedPageBreak/>
        <w:fldChar w:fldCharType="begin"/>
      </w:r>
      <w:r w:rsidRPr="00B87971">
        <w:rPr>
          <w:rFonts w:ascii="Times New Roman" w:hAnsi="Times New Roman" w:cs="Times New Roman"/>
          <w:color w:val="000000"/>
          <w:sz w:val="24"/>
          <w:szCs w:val="24"/>
          <w:shd w:val="clear" w:color="auto" w:fill="FFFFFF"/>
          <w:lang w:val="vi-VN"/>
        </w:rPr>
        <w:instrText xml:space="preserve"> ADDIN ZOTERO_BIBL {"uncited":[],"omitted":[],"custom":[]} CSL_BIBLIOGRAPHY </w:instrText>
      </w:r>
      <w:r w:rsidRPr="00B87971">
        <w:rPr>
          <w:rFonts w:ascii="Times New Roman" w:hAnsi="Times New Roman" w:cs="Times New Roman"/>
          <w:color w:val="000000"/>
          <w:sz w:val="24"/>
          <w:szCs w:val="24"/>
          <w:shd w:val="clear" w:color="auto" w:fill="FFFFFF"/>
          <w:lang w:val="vi-VN"/>
        </w:rPr>
        <w:fldChar w:fldCharType="separate"/>
      </w:r>
      <w:r w:rsidR="00542E3E" w:rsidRPr="00B87971">
        <w:rPr>
          <w:rFonts w:ascii="Times New Roman" w:hAnsi="Times New Roman" w:cs="Times New Roman"/>
          <w:sz w:val="24"/>
          <w:szCs w:val="24"/>
        </w:rPr>
        <w:t>Arizona Court. Valley Medical Specialists v. Steven S. Farbber, D.O. and Susan H. Farber / CV-97-0488-PR (Supreme Court of Arizona,</w:t>
      </w:r>
      <w:r w:rsidR="00542E3E" w:rsidRPr="00B87971">
        <w:rPr>
          <w:rFonts w:ascii="Times New Roman" w:hAnsi="Times New Roman" w:cs="Times New Roman"/>
          <w:sz w:val="24"/>
          <w:szCs w:val="24"/>
          <w:lang w:val="vi-VN"/>
        </w:rPr>
        <w:t xml:space="preserve"> </w:t>
      </w:r>
      <w:r w:rsidR="00542E3E" w:rsidRPr="00B87971">
        <w:rPr>
          <w:rFonts w:ascii="Times New Roman" w:hAnsi="Times New Roman" w:cs="Times New Roman"/>
          <w:sz w:val="24"/>
          <w:szCs w:val="24"/>
        </w:rPr>
        <w:t>En Banc. June 18, 1999).</w:t>
      </w:r>
    </w:p>
    <w:p w14:paraId="1647150C" w14:textId="74F8FFB3"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Đoàn Thị Phương Diệp. “Điều Khoản Bảo Mật – Hạn Chế Cạnh Tranh Trong Hợp Đồng Lao Động.” </w:t>
      </w:r>
      <w:r w:rsidRPr="00B87971">
        <w:rPr>
          <w:rFonts w:ascii="Times New Roman" w:hAnsi="Times New Roman" w:cs="Times New Roman"/>
          <w:i/>
          <w:iCs/>
          <w:sz w:val="24"/>
          <w:szCs w:val="24"/>
        </w:rPr>
        <w:t>Nghiên Cứu Lập Pháp</w:t>
      </w:r>
      <w:r w:rsidRPr="00B87971">
        <w:rPr>
          <w:rFonts w:ascii="Times New Roman" w:hAnsi="Times New Roman" w:cs="Times New Roman"/>
          <w:sz w:val="24"/>
          <w:szCs w:val="24"/>
        </w:rPr>
        <w:t xml:space="preserve"> 12, no. 2 (24/2015) (December 2015). </w:t>
      </w:r>
    </w:p>
    <w:p w14:paraId="3FFF1F43"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Mai Chi. “Cẩn trọng với thỏa thuận bảo mật.” </w:t>
      </w:r>
      <w:r w:rsidRPr="00B87971">
        <w:rPr>
          <w:rFonts w:ascii="Times New Roman" w:hAnsi="Times New Roman" w:cs="Times New Roman"/>
          <w:i/>
          <w:iCs/>
          <w:sz w:val="24"/>
          <w:szCs w:val="24"/>
        </w:rPr>
        <w:t>Người lao động Online</w:t>
      </w:r>
      <w:r w:rsidRPr="00B87971">
        <w:rPr>
          <w:rFonts w:ascii="Times New Roman" w:hAnsi="Times New Roman" w:cs="Times New Roman"/>
          <w:sz w:val="24"/>
          <w:szCs w:val="24"/>
        </w:rPr>
        <w:t>. June 19, 2018. https://nld.com.vn/news-20180618192839114.htm.</w:t>
      </w:r>
    </w:p>
    <w:p w14:paraId="395F2621"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Michael D. Paul &amp; Ian C. Crawford. “Refocusing Light: Alex Sheshunoff Mangement Services, L.P. v. Johnson Moves Back to the Basic of Convenants Not to Compete.” </w:t>
      </w:r>
      <w:r w:rsidRPr="00B87971">
        <w:rPr>
          <w:rFonts w:ascii="Times New Roman" w:hAnsi="Times New Roman" w:cs="Times New Roman"/>
          <w:i/>
          <w:iCs/>
          <w:sz w:val="24"/>
          <w:szCs w:val="24"/>
        </w:rPr>
        <w:t>ST. Mary’s Law Journal</w:t>
      </w:r>
      <w:r w:rsidRPr="00B87971">
        <w:rPr>
          <w:rFonts w:ascii="Times New Roman" w:hAnsi="Times New Roman" w:cs="Times New Roman"/>
          <w:sz w:val="24"/>
          <w:szCs w:val="24"/>
        </w:rPr>
        <w:t xml:space="preserve"> 38 (2007).</w:t>
      </w:r>
    </w:p>
    <w:p w14:paraId="1246A332" w14:textId="2BF75C10"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Nguyễn Ngọc Bích. “Điều Khoản ‘Không Cạnh Tranh’ Trong Hợp Đồng NDA.” </w:t>
      </w:r>
      <w:r w:rsidRPr="00B87971">
        <w:rPr>
          <w:rFonts w:ascii="Times New Roman" w:hAnsi="Times New Roman" w:cs="Times New Roman"/>
          <w:i/>
          <w:iCs/>
          <w:sz w:val="24"/>
          <w:szCs w:val="24"/>
        </w:rPr>
        <w:t>Thời Báo Kinh Tế Sài Gòn</w:t>
      </w:r>
      <w:r w:rsidR="00AC6F72" w:rsidRPr="00B87971">
        <w:rPr>
          <w:rFonts w:ascii="Times New Roman" w:hAnsi="Times New Roman" w:cs="Times New Roman"/>
          <w:sz w:val="24"/>
          <w:szCs w:val="24"/>
        </w:rPr>
        <w:t xml:space="preserve">, </w:t>
      </w:r>
      <w:r w:rsidR="00AC6F72" w:rsidRPr="00B87971">
        <w:rPr>
          <w:rFonts w:ascii="Times New Roman" w:hAnsi="Times New Roman" w:cs="Times New Roman"/>
          <w:sz w:val="24"/>
          <w:szCs w:val="24"/>
          <w:lang w:val="vi-VN"/>
        </w:rPr>
        <w:t>12/7/</w:t>
      </w:r>
      <w:r w:rsidRPr="00B87971">
        <w:rPr>
          <w:rFonts w:ascii="Times New Roman" w:hAnsi="Times New Roman" w:cs="Times New Roman"/>
          <w:sz w:val="24"/>
          <w:szCs w:val="24"/>
        </w:rPr>
        <w:t>2018, Số</w:t>
      </w:r>
      <w:r w:rsidR="00AC6F72" w:rsidRPr="00B87971">
        <w:rPr>
          <w:rFonts w:ascii="Times New Roman" w:hAnsi="Times New Roman" w:cs="Times New Roman"/>
          <w:sz w:val="24"/>
          <w:szCs w:val="24"/>
        </w:rPr>
        <w:t xml:space="preserve"> 28/2018</w:t>
      </w:r>
      <w:r w:rsidRPr="00B87971">
        <w:rPr>
          <w:rFonts w:ascii="Times New Roman" w:hAnsi="Times New Roman" w:cs="Times New Roman"/>
          <w:sz w:val="24"/>
          <w:szCs w:val="24"/>
        </w:rPr>
        <w:t>.</w:t>
      </w:r>
    </w:p>
    <w:p w14:paraId="3AEF7B86" w14:textId="68C6C2D6"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Ontario Court. Lyons v. Multari / 50 O.R. (3d) 526 [2000] O.J. No. 3462, No. C31362 (Court of Appeal for Ontario (Canada) September 21, 2000).</w:t>
      </w:r>
    </w:p>
    <w:p w14:paraId="10628CAA"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Payne, Janice. “Employment Contracts - How to Lay a Solid Foundation.” </w:t>
      </w:r>
      <w:r w:rsidRPr="00B87971">
        <w:rPr>
          <w:rFonts w:ascii="Times New Roman" w:hAnsi="Times New Roman" w:cs="Times New Roman"/>
          <w:i/>
          <w:iCs/>
          <w:sz w:val="24"/>
          <w:szCs w:val="24"/>
        </w:rPr>
        <w:t>Nelligan O Brien Payne, Ontario (Canada)</w:t>
      </w:r>
      <w:r w:rsidRPr="00B87971">
        <w:rPr>
          <w:rFonts w:ascii="Times New Roman" w:hAnsi="Times New Roman" w:cs="Times New Roman"/>
          <w:sz w:val="24"/>
          <w:szCs w:val="24"/>
        </w:rPr>
        <w:t>, May 28, 2017, 31.</w:t>
      </w:r>
    </w:p>
    <w:p w14:paraId="2FBB0616" w14:textId="76942C26"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Sheridan, Matt. “Who Dimmed the Light?: How Marsh USA Inc.V.Cook Impacts Covenants Not to Compete in Taxas.” </w:t>
      </w:r>
      <w:r w:rsidRPr="00B87971">
        <w:rPr>
          <w:rFonts w:ascii="Times New Roman" w:hAnsi="Times New Roman" w:cs="Times New Roman"/>
          <w:i/>
          <w:iCs/>
          <w:sz w:val="24"/>
          <w:szCs w:val="24"/>
        </w:rPr>
        <w:t>Baylor Law Review</w:t>
      </w:r>
      <w:r w:rsidR="000E1896" w:rsidRPr="00B87971">
        <w:rPr>
          <w:rFonts w:ascii="Times New Roman" w:hAnsi="Times New Roman" w:cs="Times New Roman"/>
          <w:sz w:val="24"/>
          <w:szCs w:val="24"/>
        </w:rPr>
        <w:t xml:space="preserve"> 65</w:t>
      </w:r>
      <w:r w:rsidRPr="00B87971">
        <w:rPr>
          <w:rFonts w:ascii="Times New Roman" w:hAnsi="Times New Roman" w:cs="Times New Roman"/>
          <w:sz w:val="24"/>
          <w:szCs w:val="24"/>
        </w:rPr>
        <w:t>: 24.</w:t>
      </w:r>
    </w:p>
    <w:p w14:paraId="34E559E7"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Smith, Reed. “Summary of Covenants Not To Compete: A Global Perspective.” Fenwick &amp; West LLP, US, 2011.</w:t>
      </w:r>
    </w:p>
    <w:p w14:paraId="5DB6B993"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Taxas Court. Alex Sheshunoff Mgmt L.P. v. v. Kenneth Johnson and Strunk &amp; Associates, L.P. / No.</w:t>
      </w:r>
      <w:r w:rsidRPr="00B87971">
        <w:rPr>
          <w:rFonts w:ascii="Times New Roman" w:hAnsi="Times New Roman" w:cs="Times New Roman"/>
          <w:sz w:val="24"/>
          <w:szCs w:val="24"/>
        </w:rPr>
        <w:t> </w:t>
      </w:r>
      <w:r w:rsidRPr="00B87971">
        <w:rPr>
          <w:rFonts w:ascii="Times New Roman" w:hAnsi="Times New Roman" w:cs="Times New Roman"/>
          <w:sz w:val="24"/>
          <w:szCs w:val="24"/>
        </w:rPr>
        <w:t>03-1050 (Supreme Court of Texas October 20, 2006).</w:t>
      </w:r>
    </w:p>
    <w:p w14:paraId="45FA2141" w14:textId="588A367C" w:rsidR="00542E3E" w:rsidRPr="00B87971" w:rsidRDefault="00542E3E" w:rsidP="00507BAC">
      <w:pPr>
        <w:pStyle w:val="Bibliography"/>
        <w:spacing w:line="276" w:lineRule="auto"/>
        <w:jc w:val="both"/>
        <w:rPr>
          <w:rFonts w:ascii="Times New Roman" w:hAnsi="Times New Roman" w:cs="Times New Roman"/>
          <w:sz w:val="24"/>
          <w:szCs w:val="24"/>
          <w:lang w:val="vi-VN"/>
        </w:rPr>
      </w:pPr>
      <w:r w:rsidRPr="00B87971">
        <w:rPr>
          <w:rFonts w:ascii="Times New Roman" w:hAnsi="Times New Roman" w:cs="Times New Roman"/>
          <w:sz w:val="24"/>
          <w:szCs w:val="24"/>
        </w:rPr>
        <w:t xml:space="preserve">Trần Văn Trí. “Không Được Làm Việc Cho Đối Thủ Cạnh Tranh - Được Pháp Luật Thừa Nhận.” </w:t>
      </w:r>
      <w:r w:rsidRPr="00B87971">
        <w:rPr>
          <w:rFonts w:ascii="Times New Roman" w:hAnsi="Times New Roman" w:cs="Times New Roman"/>
          <w:i/>
          <w:iCs/>
          <w:sz w:val="24"/>
          <w:szCs w:val="24"/>
        </w:rPr>
        <w:t>Thời Báo Kinh Tế Sài Gòn Online</w:t>
      </w:r>
      <w:r w:rsidRPr="00B87971">
        <w:rPr>
          <w:rFonts w:ascii="Times New Roman" w:hAnsi="Times New Roman" w:cs="Times New Roman"/>
          <w:sz w:val="24"/>
          <w:szCs w:val="24"/>
        </w:rPr>
        <w:t>, June 25, 2018.</w:t>
      </w:r>
      <w:r w:rsidRPr="00B87971">
        <w:rPr>
          <w:rFonts w:ascii="Times New Roman" w:hAnsi="Times New Roman" w:cs="Times New Roman"/>
          <w:sz w:val="24"/>
          <w:szCs w:val="24"/>
          <w:lang w:val="vi-VN"/>
        </w:rPr>
        <w:t xml:space="preserve"> http://www.thesaigontimes.vn/274109/khong-duoc-lam-viec-cho-doi-thu-canh-tranh--duoc-phap-luat-thua-nhan.html</w:t>
      </w:r>
    </w:p>
    <w:p w14:paraId="27DAA730" w14:textId="3E8E7095"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U.S. Department of the Treasury. “Non-Compete Contracts: Economic Effects and Policy Implications.” </w:t>
      </w:r>
      <w:r w:rsidRPr="00B87971">
        <w:rPr>
          <w:rFonts w:ascii="Times New Roman" w:hAnsi="Times New Roman" w:cs="Times New Roman"/>
          <w:i/>
          <w:iCs/>
          <w:sz w:val="24"/>
          <w:szCs w:val="24"/>
        </w:rPr>
        <w:t>Federal Publications, Washington, D.C., US</w:t>
      </w:r>
      <w:r w:rsidRPr="00B87971">
        <w:rPr>
          <w:rFonts w:ascii="Times New Roman" w:hAnsi="Times New Roman" w:cs="Times New Roman"/>
          <w:sz w:val="24"/>
          <w:szCs w:val="24"/>
        </w:rPr>
        <w:t>, March 1, 2016.</w:t>
      </w:r>
    </w:p>
    <w:p w14:paraId="0A4C977C" w14:textId="234E65BF"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US Whitehouse. “Non-Compete Agreements: Analysis of the Usage, Potential Issues, and State Responses.” US - Washington, DC, May 2016.</w:t>
      </w:r>
    </w:p>
    <w:p w14:paraId="375C289E" w14:textId="096CA96B"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US Whitehouse. “State Call to Action on Non-Compete Agreements.” US - Washington, DC, December 25, 2016. </w:t>
      </w:r>
    </w:p>
    <w:p w14:paraId="658F148E" w14:textId="77777777" w:rsidR="00542E3E" w:rsidRPr="00B87971" w:rsidRDefault="00542E3E" w:rsidP="00507BAC">
      <w:pPr>
        <w:pStyle w:val="Bibliography"/>
        <w:spacing w:line="276" w:lineRule="auto"/>
        <w:jc w:val="both"/>
        <w:rPr>
          <w:rFonts w:ascii="Times New Roman" w:hAnsi="Times New Roman" w:cs="Times New Roman"/>
          <w:sz w:val="24"/>
          <w:szCs w:val="24"/>
        </w:rPr>
      </w:pPr>
      <w:r w:rsidRPr="00B87971">
        <w:rPr>
          <w:rFonts w:ascii="Times New Roman" w:hAnsi="Times New Roman" w:cs="Times New Roman"/>
          <w:sz w:val="24"/>
          <w:szCs w:val="24"/>
        </w:rPr>
        <w:t xml:space="preserve">Willes, John A., and John H. Willes. </w:t>
      </w:r>
      <w:r w:rsidRPr="00B87971">
        <w:rPr>
          <w:rFonts w:ascii="Times New Roman" w:hAnsi="Times New Roman" w:cs="Times New Roman"/>
          <w:i/>
          <w:iCs/>
          <w:sz w:val="24"/>
          <w:szCs w:val="24"/>
        </w:rPr>
        <w:t>Fundamentals of Canadian Business Law, Second Edition</w:t>
      </w:r>
      <w:r w:rsidRPr="00B87971">
        <w:rPr>
          <w:rFonts w:ascii="Times New Roman" w:hAnsi="Times New Roman" w:cs="Times New Roman"/>
          <w:sz w:val="24"/>
          <w:szCs w:val="24"/>
        </w:rPr>
        <w:t>. 2 Ed. Toronto: McGraw-Hill Ryerson, 2008.</w:t>
      </w:r>
    </w:p>
    <w:p w14:paraId="6E60CA72" w14:textId="5ED06AFC" w:rsidR="005543D0" w:rsidRPr="00507BAC" w:rsidRDefault="00ED1850" w:rsidP="00507BAC">
      <w:pPr>
        <w:adjustRightInd w:val="0"/>
        <w:snapToGrid w:val="0"/>
        <w:spacing w:after="0" w:line="276" w:lineRule="auto"/>
        <w:ind w:firstLine="720"/>
        <w:jc w:val="both"/>
        <w:rPr>
          <w:rFonts w:ascii="Times New Roman" w:hAnsi="Times New Roman" w:cs="Times New Roman"/>
          <w:color w:val="000000"/>
          <w:sz w:val="24"/>
          <w:szCs w:val="24"/>
          <w:shd w:val="clear" w:color="auto" w:fill="FFFFFF"/>
          <w:lang w:val="vi-VN"/>
        </w:rPr>
      </w:pPr>
      <w:r w:rsidRPr="00B87971">
        <w:rPr>
          <w:rFonts w:ascii="Times New Roman" w:hAnsi="Times New Roman" w:cs="Times New Roman"/>
          <w:color w:val="000000"/>
          <w:sz w:val="24"/>
          <w:szCs w:val="24"/>
          <w:shd w:val="clear" w:color="auto" w:fill="FFFFFF"/>
          <w:lang w:val="vi-VN"/>
        </w:rPr>
        <w:fldChar w:fldCharType="end"/>
      </w:r>
    </w:p>
    <w:p w14:paraId="6C142339" w14:textId="77777777" w:rsidR="000E3C4D" w:rsidRPr="00507BAC" w:rsidRDefault="000E3C4D" w:rsidP="00507BAC">
      <w:pPr>
        <w:adjustRightInd w:val="0"/>
        <w:snapToGrid w:val="0"/>
        <w:spacing w:after="0" w:line="276" w:lineRule="auto"/>
        <w:ind w:firstLine="720"/>
        <w:jc w:val="both"/>
        <w:rPr>
          <w:rFonts w:ascii="Times New Roman" w:hAnsi="Times New Roman" w:cs="Times New Roman"/>
          <w:color w:val="000000"/>
          <w:sz w:val="24"/>
          <w:szCs w:val="24"/>
          <w:shd w:val="clear" w:color="auto" w:fill="FFFFFF"/>
          <w:lang w:val="vi-VN"/>
        </w:rPr>
      </w:pPr>
    </w:p>
    <w:p w14:paraId="45670F33" w14:textId="77777777" w:rsidR="00B94594" w:rsidRPr="00507BAC" w:rsidRDefault="00B94594" w:rsidP="00507BAC">
      <w:pPr>
        <w:adjustRightInd w:val="0"/>
        <w:snapToGrid w:val="0"/>
        <w:spacing w:after="0" w:line="276" w:lineRule="auto"/>
        <w:ind w:firstLine="720"/>
        <w:jc w:val="both"/>
        <w:rPr>
          <w:rFonts w:ascii="Times New Roman" w:hAnsi="Times New Roman" w:cs="Times New Roman"/>
          <w:color w:val="000000"/>
          <w:sz w:val="24"/>
          <w:szCs w:val="24"/>
          <w:shd w:val="clear" w:color="auto" w:fill="FFFFFF"/>
          <w:lang w:val="vi-VN"/>
        </w:rPr>
      </w:pPr>
    </w:p>
    <w:p w14:paraId="047DFD02" w14:textId="77777777" w:rsidR="00F8670C" w:rsidRPr="00CA531A" w:rsidRDefault="00F8670C" w:rsidP="00CA531A">
      <w:pPr>
        <w:adjustRightInd w:val="0"/>
        <w:snapToGrid w:val="0"/>
        <w:spacing w:after="120" w:line="240" w:lineRule="auto"/>
        <w:ind w:firstLine="720"/>
        <w:jc w:val="both"/>
        <w:rPr>
          <w:rFonts w:ascii="Times New Roman" w:hAnsi="Times New Roman" w:cs="Times New Roman"/>
          <w:color w:val="000000"/>
          <w:sz w:val="24"/>
          <w:szCs w:val="24"/>
          <w:shd w:val="clear" w:color="auto" w:fill="FFFFFF"/>
          <w:lang w:val="vi-VN"/>
        </w:rPr>
      </w:pPr>
    </w:p>
    <w:p w14:paraId="6CACA7B3" w14:textId="77777777" w:rsidR="008B39CB" w:rsidRPr="00CA531A" w:rsidRDefault="008B39CB" w:rsidP="00CA531A">
      <w:pPr>
        <w:adjustRightInd w:val="0"/>
        <w:snapToGrid w:val="0"/>
        <w:spacing w:after="120" w:line="240" w:lineRule="auto"/>
        <w:ind w:firstLine="720"/>
        <w:jc w:val="both"/>
        <w:rPr>
          <w:rFonts w:ascii="Times New Roman" w:hAnsi="Times New Roman" w:cs="Times New Roman"/>
          <w:color w:val="333333"/>
          <w:sz w:val="24"/>
          <w:szCs w:val="24"/>
          <w:lang w:val="vi-VN"/>
        </w:rPr>
      </w:pPr>
    </w:p>
    <w:sectPr w:rsidR="008B39CB" w:rsidRPr="00CA531A" w:rsidSect="00574614">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0C6CC" w14:textId="77777777" w:rsidR="000F5DAD" w:rsidRDefault="000F5DAD" w:rsidP="00162658">
      <w:pPr>
        <w:spacing w:after="0" w:line="240" w:lineRule="auto"/>
      </w:pPr>
      <w:r>
        <w:separator/>
      </w:r>
    </w:p>
  </w:endnote>
  <w:endnote w:type="continuationSeparator" w:id="0">
    <w:p w14:paraId="27B570D2" w14:textId="77777777" w:rsidR="000F5DAD" w:rsidRDefault="000F5DAD" w:rsidP="0016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2123047"/>
      <w:docPartObj>
        <w:docPartGallery w:val="Page Numbers (Bottom of Page)"/>
        <w:docPartUnique/>
      </w:docPartObj>
    </w:sdtPr>
    <w:sdtEndPr>
      <w:rPr>
        <w:rStyle w:val="PageNumber"/>
      </w:rPr>
    </w:sdtEndPr>
    <w:sdtContent>
      <w:p w14:paraId="5CAF1DDC" w14:textId="797973F9" w:rsidR="00707551" w:rsidRDefault="00707551" w:rsidP="006911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41D26" w14:textId="77777777" w:rsidR="00707551" w:rsidRDefault="00707551" w:rsidP="002C1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90666986"/>
      <w:docPartObj>
        <w:docPartGallery w:val="Page Numbers (Bottom of Page)"/>
        <w:docPartUnique/>
      </w:docPartObj>
    </w:sdtPr>
    <w:sdtEndPr>
      <w:rPr>
        <w:noProof/>
      </w:rPr>
    </w:sdtEndPr>
    <w:sdtContent>
      <w:p w14:paraId="7CAA5CB3" w14:textId="2C7F5857" w:rsidR="002754B7" w:rsidRPr="002754B7" w:rsidRDefault="002754B7">
        <w:pPr>
          <w:pStyle w:val="Footer"/>
          <w:jc w:val="center"/>
          <w:rPr>
            <w:rFonts w:ascii="Times New Roman" w:hAnsi="Times New Roman" w:cs="Times New Roman"/>
          </w:rPr>
        </w:pPr>
        <w:r w:rsidRPr="002754B7">
          <w:rPr>
            <w:rFonts w:ascii="Times New Roman" w:hAnsi="Times New Roman" w:cs="Times New Roman"/>
          </w:rPr>
          <w:fldChar w:fldCharType="begin"/>
        </w:r>
        <w:r w:rsidRPr="002754B7">
          <w:rPr>
            <w:rFonts w:ascii="Times New Roman" w:hAnsi="Times New Roman" w:cs="Times New Roman"/>
          </w:rPr>
          <w:instrText xml:space="preserve"> PAGE   \* MERGEFORMAT </w:instrText>
        </w:r>
        <w:r w:rsidRPr="002754B7">
          <w:rPr>
            <w:rFonts w:ascii="Times New Roman" w:hAnsi="Times New Roman" w:cs="Times New Roman"/>
          </w:rPr>
          <w:fldChar w:fldCharType="separate"/>
        </w:r>
        <w:r w:rsidR="00B87971">
          <w:rPr>
            <w:rFonts w:ascii="Times New Roman" w:hAnsi="Times New Roman" w:cs="Times New Roman"/>
            <w:noProof/>
          </w:rPr>
          <w:t>1</w:t>
        </w:r>
        <w:r w:rsidRPr="002754B7">
          <w:rPr>
            <w:rFonts w:ascii="Times New Roman" w:hAnsi="Times New Roman" w:cs="Times New Roman"/>
            <w:noProof/>
          </w:rPr>
          <w:fldChar w:fldCharType="end"/>
        </w:r>
      </w:p>
    </w:sdtContent>
  </w:sdt>
  <w:p w14:paraId="3262E876" w14:textId="77777777" w:rsidR="00707551" w:rsidRPr="002754B7" w:rsidRDefault="00707551" w:rsidP="002C169B">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3869" w14:textId="77777777" w:rsidR="000F5DAD" w:rsidRDefault="000F5DAD" w:rsidP="00162658">
      <w:pPr>
        <w:spacing w:after="0" w:line="240" w:lineRule="auto"/>
      </w:pPr>
      <w:r>
        <w:separator/>
      </w:r>
    </w:p>
  </w:footnote>
  <w:footnote w:type="continuationSeparator" w:id="0">
    <w:p w14:paraId="38FF2499" w14:textId="77777777" w:rsidR="000F5DAD" w:rsidRDefault="000F5DAD" w:rsidP="00162658">
      <w:pPr>
        <w:spacing w:after="0" w:line="240" w:lineRule="auto"/>
      </w:pPr>
      <w:r>
        <w:continuationSeparator/>
      </w:r>
    </w:p>
  </w:footnote>
  <w:footnote w:id="1">
    <w:p w14:paraId="28CE8470" w14:textId="410A0B40"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{"citationID":"OM14IYur","properties":{"formattedCitation":"John A. Willes and John H. Willes, {\\i{}Fundamentals of Canadian Business Law, Second Edition}, 2 edition (Toronto: McGraw-Hill Ryerson, 2008), 89.","plainCitation":"John A. Willes and John H. Willes, Fundamentals of Canadian Business Law, Second Edition, 2 edition (Toronto: McGraw-Hill Ryerson, 2008), 89.","noteIndex":2},"citationItems":[{"id":1107,"uris":["http://zotero.org/users/1192080/items/E6GUQSYD"],"uri":["http://zotero.org/users/1192080/items/E6GUQSYD"],"itemData":{"id":1107,"type":"book","title":"Fundamentals of Canadian Business Law, Second Edition","publisher":"McGraw-Hill Ryerson","publisher-place":"Toronto","number-of-pages":"528","edition":"2 edition","source":"Amazon","event-place":"Toronto","abstract":"The key words for this text are: \"clear, concise, and relevant.\" Most students taking this course are not going to be lawyers and therefore the emphasis is on a strong business orientation. Key features and competitive advantages include additional core topics such as risk management, negligence, and intellectual property. Case material has also been integrated into each chapter to illustrate the key topics and is presented in summary format as well as in hypothetical examples. Numerous features within the text demonstrate business law to students in a real world context. This text will assist and guide the entrepreneurial student who is aiming to start a business and needs the legal knowledge to avoid pitfalls.","ISBN":"978-0-07-096137-1","language":"English","author":[{"family":"Willes","given":"John A."},{"family":"Willes","given":"John H."}],"issued":{"date-parts":[["2008",1,11]]}},"locator":"89","label":"page"}],"schema":"https://github.com/citation-style-language/schema/raw/master/csl-citation.json"}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 xml:space="preserve">John A. Willes and John H. Willes, </w:t>
      </w:r>
      <w:r w:rsidRPr="00542E3E">
        <w:rPr>
          <w:rFonts w:ascii="Times New Roman" w:hAnsi="Times New Roman" w:cs="Times New Roman"/>
          <w:i/>
          <w:iCs/>
        </w:rPr>
        <w:t>Fundamentals of Canadian Business Law, Second Edition</w:t>
      </w:r>
      <w:r w:rsidRPr="00542E3E">
        <w:rPr>
          <w:rFonts w:ascii="Times New Roman" w:hAnsi="Times New Roman" w:cs="Times New Roman"/>
        </w:rPr>
        <w:t>, 2 Ed</w:t>
      </w:r>
      <w:r w:rsidRPr="00542E3E">
        <w:rPr>
          <w:rFonts w:ascii="Times New Roman" w:hAnsi="Times New Roman" w:cs="Times New Roman"/>
          <w:lang w:val="vi-VN"/>
        </w:rPr>
        <w:t>.</w:t>
      </w:r>
      <w:r w:rsidRPr="00542E3E">
        <w:rPr>
          <w:rFonts w:ascii="Times New Roman" w:hAnsi="Times New Roman" w:cs="Times New Roman"/>
        </w:rPr>
        <w:t xml:space="preserve"> (Toronto: McGraw-Hill Ryerson, 2008), 89.</w:t>
      </w:r>
      <w:r w:rsidRPr="00542E3E">
        <w:rPr>
          <w:rFonts w:ascii="Times New Roman" w:hAnsi="Times New Roman" w:cs="Times New Roman"/>
        </w:rPr>
        <w:fldChar w:fldCharType="end"/>
      </w:r>
    </w:p>
  </w:footnote>
  <w:footnote w:id="2">
    <w:p w14:paraId="362927E5" w14:textId="657A3E35"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{"citationID":"pkXSasxT","properties":{"formattedCitation":"Willes and Willes, 89.","plainCitation":"Willes and Willes, 89.","noteIndex":3},"citationItems":[{"id":1107,"uris":["http://zotero.org/users/1192080/items/E6GUQSYD"],"uri":["http://zotero.org/users/1192080/items/E6GUQSYD"],"itemData":{"id":1107,"type":"book","title":"Fundamentals of Canadian Business Law, Second Edition","publisher":"McGraw-Hill Ryerson","publisher-place":"Toronto","number-of-pages":"528","edition":"2 Ed.","source":"Amazon","event-place":"Toronto","abstract":"The key words for this text are: \"clear, concise, and relevant.\" Most students taking this course are not going to be lawyers and therefore the emphasis is on a strong business orientation. Key features and competitive advantages include additional core topics such as risk management, negligence, and intellectual property. Case material has also been integrated into each chapter to illustrate the key topics and is presented in summary format as well as in hypothetical examples. Numerous features within the text demonstrate business law to students in a real world context. This text will assist and guide the entrepreneurial student who is aiming to start a business and needs the legal knowledge to avoid pitfalls.","ISBN":"978-0-07-096137-1","language":"English","author":[{"family":"Willes","given":"John A."},{"family":"Willes","given":"John H."}],"issued":{"date-parts":[["2008",1,11]]}},"locator":"89","label":"page"}],"schema":"https://github.com/citation-style-language/schema/raw/master/csl-citation.json"}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noProof/>
        </w:rPr>
        <w:t>Willes and Willes, 89.</w:t>
      </w:r>
      <w:r w:rsidRPr="00542E3E">
        <w:rPr>
          <w:rFonts w:ascii="Times New Roman" w:hAnsi="Times New Roman" w:cs="Times New Roman"/>
        </w:rPr>
        <w:fldChar w:fldCharType="end"/>
      </w:r>
    </w:p>
  </w:footnote>
  <w:footnote w:id="3">
    <w:p w14:paraId="763B7CD2" w14:textId="3DCB0397"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{"citationID":"3teI0zXg","properties":{"formattedCitation":"Xem th\\uc0\\u234{}m: Reed Smith, \\uc0\\u8220{}Summary of Covenants Not To Compete: A Global Perspective\\uc0\\u8221{} (Fenwick &amp; West LLP, US, 2011).","plainCitation":"Xem thêm: Reed Smith, “Summary of Covenants Not To Compete: A Global Perspective” (Fenwick &amp; West LLP, US, 2011).","noteIndex":4},"citationItems":[{"id":1114,"uris":["http://zotero.org/users/1192080/items/6EXBLEZX"],"uri":["http://zotero.org/users/1192080/items/6EXBLEZX"],"itemData":{"id":1114,"type":"article","title":"Summary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Xem thêm: Reed Smith, “Summary of Covenants Not To Compete: A Global Perspective” (Fenwick &amp; West LLP, US, 2011).</w:t>
      </w:r>
      <w:r w:rsidRPr="00542E3E">
        <w:rPr>
          <w:rFonts w:ascii="Times New Roman" w:hAnsi="Times New Roman" w:cs="Times New Roman"/>
        </w:rPr>
        <w:fldChar w:fldCharType="end"/>
      </w:r>
    </w:p>
  </w:footnote>
  <w:footnote w:id="4">
    <w:p w14:paraId="51F0B8AF" w14:textId="58B28C5A"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{"citationID":"rp7MuUxY","properties":{"formattedCitation":"U.S. Department of the Treasury, \\uc0\\u8220{}Non-Compete Contracts: Economic Effects and Policy Implications,\\uc0\\u8221{} {\\i{}Federal Publications, Washington, D.C., US}, March 1, 2016, 12, https://digitalcommons.ilr.cornell.edu/key_workplace/1904; US Whitehouse, \\uc0\\u8220{}State Call to Action on Non-Compete Agreements\\uc0\\u8221{} (US - Washington, DC, December 25, 2016), https://obamawhitehouse.archives.gov/sites/default/files/competition/noncompetes-calltoaction-final.pdf.","plainCitation":"U.S. Department of the Treasury, “Non-Compete Contracts: Economic Effects and Policy Implications,” Federal Publications, Washington, D.C., US, March 1, 2016, 12, https://digitalcommons.ilr.cornell.edu/key_workplace/1904; US Whitehouse, “State Call to Action on Non-Compete Agreements” (US - Washington, DC, December 25, 2016), https://obamawhitehouse.archives.gov/sites/default/files/competition/noncompetes-calltoaction-final.pdf.","dontUpdate":true,"noteIndex":5},"citationItems":[{"id":1127,"uris":["http://zotero.org/users/1192080/items/H4Y5XD8J"],"uri":["http://zotero.org/users/1192080/items/H4Y5XD8J"],"itemData":{"id":1127,"type":"article-journal","title":"Non-compete Contracts: Economic Effects and Policy Implications","container-title":"Federal Publications, Washington, D.C., US","URL":"https://digitalcommons.ilr.cornell.edu/key_workplace/1904","shortTitle":"Non-compete Contracts","author":[{"family":"U.S. Department of the Treasury","given":""}],"issued":{"date-parts":[["2016",3,1]]}},"locator":"12","label":"page"},{"id":1133,"uris":["http://zotero.org/users/1192080/items/5C8VUMHX"],"uri":["http://zotero.org/users/1192080/items/5C8VUMHX"],"itemData":{"id":1133,"type":"report","title":"State Call to Action on Non-Compete Agreements","publisher-place":"US - Washington, DC","event-place":"US - Washington, DC","URL":"https://obamawhitehouse.archives.gov/sites/default/files/competition/noncompetes-calltoaction-final.pdf","language":"en-US","author":[{"family":"US Whitehouse","given":""}],"issued":{"date-parts":[["2016",12,25]]},"accessed":{"date-parts":[["2018",7,7]]}},"label":"page"}],"schema":"https://github.com/citation-style-language/schema/raw/master/csl-citation.json"}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 xml:space="preserve">U.S. Department of the Treasury, “Non-Compete Contracts: Economic Effects and Policy Implications,” </w:t>
      </w:r>
      <w:r w:rsidRPr="00542E3E">
        <w:rPr>
          <w:rFonts w:ascii="Times New Roman" w:hAnsi="Times New Roman" w:cs="Times New Roman"/>
          <w:i/>
          <w:iCs/>
        </w:rPr>
        <w:t>Federal Publications, Washington, D.C., US</w:t>
      </w:r>
      <w:r w:rsidRPr="00542E3E">
        <w:rPr>
          <w:rFonts w:ascii="Times New Roman" w:hAnsi="Times New Roman" w:cs="Times New Roman"/>
        </w:rPr>
        <w:t>, March 1, 2016, 12; US Whitehouse, “State Call to Action on Non-Compete Agreements” (US - Washington, DC, December 25, 2016).</w:t>
      </w:r>
      <w:r w:rsidRPr="00542E3E">
        <w:rPr>
          <w:rFonts w:ascii="Times New Roman" w:hAnsi="Times New Roman" w:cs="Times New Roman"/>
        </w:rPr>
        <w:fldChar w:fldCharType="end"/>
      </w:r>
    </w:p>
  </w:footnote>
  <w:footnote w:id="5">
    <w:p w14:paraId="2DC5407A" w14:textId="77777777" w:rsidR="006E3D0C" w:rsidRPr="00542E3E" w:rsidRDefault="006E3D0C"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{"citationID":"rdJzKHdY","properties":{"formattedCitation":"U.S. Department of the Treasury, \\uc0\\u8220{}Non-Compete Contracts,\\uc0\\u8221{} 8.","plainCitation":"U.S. Department of the Treasury, “Non-Compete Contracts,” 8.","noteIndex":6},"citationItems":[{"id":1127,"uris":["http://zotero.org/users/1192080/items/H4Y5XD8J"],"uri":["http://zotero.org/users/1192080/items/H4Y5XD8J"],"itemData":{"id":1127,"type":"article-journal","title":"Non-compete Contracts: Economic Effects and Policy Implications","container-title":"Federal Publications, Washington, D.C., US","URL":"https://digitalcommons.ilr.cornell.edu/key_workplace/1904","shortTitle":"Non-compete Contracts","author":[{"family":"U.S. Department of the Treasury","given":""}],"issued":{"date-parts":[["2016",3,1]]}},"locator":"8","label":"page"}],"schema":"https://github.com/citation-style-language/schema/raw/master/csl-citation.json"}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U.S. Department of the Treasury, “Non-Compete Contracts,” 8.</w:t>
      </w:r>
      <w:r w:rsidRPr="00542E3E">
        <w:rPr>
          <w:rFonts w:ascii="Times New Roman" w:hAnsi="Times New Roman" w:cs="Times New Roman"/>
        </w:rPr>
        <w:fldChar w:fldCharType="end"/>
      </w:r>
    </w:p>
  </w:footnote>
  <w:footnote w:id="6">
    <w:p w14:paraId="69A3DF7F" w14:textId="20F9D0B6" w:rsidR="00542E3E" w:rsidRPr="00542E3E" w:rsidRDefault="00542E3E"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Pr="00542E3E">
        <w:rPr>
          <w:rFonts w:ascii="Times New Roman" w:hAnsi="Times New Roman" w:cs="Times New Roman"/>
          <w:lang w:val="vi-VN"/>
        </w:rPr>
        <w:instrText xml:space="preserve"> ADDIN ZOTERO_ITEM CSL_CITATION {"citationID":"0DyfQbKX","properties":{"formattedCitation":"Xem th\\uc0\\u234{}m: Nguy\\uc0\\u7877{}n Ng\\uc0\\u7885{}c B\\uc0\\u237{}ch, \\uc0\\u8220{}\\uc0\\u272{}i\\uc0\\u7873{}u Kho\\uc0\\u7843{}n \\uc0\\u8216{}Kh\\uc0\\u244{}ng C\\uc0\\u7841{}nh Tranh\\uc0\\u8217{} Trong H\\uc0\\u7907{}p \\uc0\\u272{}\\uc0\\u7891{}ng NDA,\\uc0\\u8221{} {\\i{}Th\\uc0\\u7901{}i B\\uc0\\u225{}o Kinh T\\uc0\\u7871{} S\\uc0\\u224{}i G\\uc0\\u242{}n}, December 7, 2018, S\\uc0\\u7889{} 28/2018 edition, http://www.thesaigontimes.vn/td/275063/dieu-khoan-khong-canh-tranh-trong-hop-dong-nda-.html.","plainCitation":"Xem thêm: Nguyễn Ngọc Bích, “Điều Khoản ‘Không Cạnh Tranh’ Trong Hợp Đồng NDA,” Thời Báo Kinh Tế Sài Gòn, December 7, 2018, Số 28/2018 edition, http://www.thesaigontimes.vn/td/275063/dieu-khoan-khong-canh-tranh-trong-hop-dong-nda-.html.","noteIndex":7},"citationItems":[{"id":1204,"uris":["http://zotero.org/users/1192080/items/R5ZD6LY4"],"uri":["http://zotero.org/users/1192080/items/R5ZD6LY4"],"itemData":{"id":1204,"type":"article-newspaper","title":"Điều khoản “không cạnh tranh” trong hợp đồng NDA","container-title":"Thời báo kinh tế Sài Gòn","edition":"Số 28/2018","abstract":"(TBKTSG) - Hợp đồng bảo mật thông tin và không cạnh tranh được dịch từ tiếng Anh là Non-Disclosure - Non Competition Agreement. Người ta thường nói tắt là NDA., (TBKTSG) - Hợp đồng bảo mật thông tin và không cạnh tranh được dịch từ tiếng Anh là Non-Disclosure - Non Competition Agreement. Người ta thường nói tắt là NDA., (TBKTSG) - Hợp đồng bảo mật thông tin và không cạnh tranh được dịch từ tiếng Anh là Non-Disclosure - Non Competition Agreement. Người ta thường nói tắt là NDA., (TBKTSG) - Hợp đồng bảo mật thông tin và không cạnh tranh được dịch từ tiếng Anh là Non-Disclosure - Non Competition Agreement. Người ta thường nói tắt là NDA., (TBKTSG) - Hợp đồng bảo mật thông tin và không cạnh tranh được dịch từ tiếng Anh là Non-Disclosure - Non Competition Agreement. Người ta thường nói tắt là NDA.","URL":"http://www.thesaigontimes.vn/td/275063/dieu-khoan-khong-canh-tranh-trong-hop-dong-nda-.html","author":[{"family":"Nguyễn Ngọc Bích","given":""}],"issued":{"date-parts":[["2018",12,7]]},"accessed":{"date-parts":[["2018",7,18]]}},"prefix":"Xem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 xml:space="preserve">Xem thêm: Nguyễn Ngọc Bích, “Điều Khoản ‘Không Cạnh Tranh’ Trong Hợp Đồng NDA,” </w:t>
      </w:r>
      <w:r w:rsidRPr="00542E3E">
        <w:rPr>
          <w:rFonts w:ascii="Times New Roman" w:hAnsi="Times New Roman" w:cs="Times New Roman"/>
          <w:i/>
          <w:iCs/>
          <w:lang w:val="vi-VN"/>
        </w:rPr>
        <w:t>Thời Báo Kinh Tế Sài Gòn</w:t>
      </w:r>
      <w:r>
        <w:rPr>
          <w:rFonts w:ascii="Times New Roman" w:hAnsi="Times New Roman" w:cs="Times New Roman"/>
          <w:lang w:val="vi-VN"/>
        </w:rPr>
        <w:t>, 12/7/</w:t>
      </w:r>
      <w:r w:rsidRPr="00542E3E">
        <w:rPr>
          <w:rFonts w:ascii="Times New Roman" w:hAnsi="Times New Roman" w:cs="Times New Roman"/>
          <w:lang w:val="vi-VN"/>
        </w:rPr>
        <w:t>2018, Số</w:t>
      </w:r>
      <w:r>
        <w:rPr>
          <w:rFonts w:ascii="Times New Roman" w:hAnsi="Times New Roman" w:cs="Times New Roman"/>
          <w:lang w:val="vi-VN"/>
        </w:rPr>
        <w:t xml:space="preserve"> 28/2018</w:t>
      </w:r>
      <w:r w:rsidRPr="00542E3E">
        <w:rPr>
          <w:rFonts w:ascii="Times New Roman" w:hAnsi="Times New Roman" w:cs="Times New Roman"/>
          <w:lang w:val="vi-VN"/>
        </w:rPr>
        <w:t>.</w:t>
      </w:r>
      <w:r w:rsidRPr="00542E3E">
        <w:rPr>
          <w:rFonts w:ascii="Times New Roman" w:hAnsi="Times New Roman" w:cs="Times New Roman"/>
        </w:rPr>
        <w:fldChar w:fldCharType="end"/>
      </w:r>
    </w:p>
  </w:footnote>
  <w:footnote w:id="7">
    <w:p w14:paraId="33915487" w14:textId="4BC5286E"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{"citationID":"PIkNbNfF","properties":{"formattedCitation":"US Whitehouse, \\uc0\\u8220{}Non-Compete Agreements: Analysis of the Usage, Potential Issues, and State Responses\\uc0\\u8221{} (US - Washington, DC, May 2016), 5, https://obamawhitehouse.archives.gov/sites/default/files/non-competes_report_final2.pdf.","plainCitation":"US Whitehouse, “Non-Compete Agreements: Analysis of the Usage, Potential Issues, and State Responses” (US - Washington, DC, May 2016), 5, https://obamawhitehouse.archives.gov/sites/default/files/non-competes_report_final2.pdf.","dontUpdate":true,"noteIndex":8},"citationItems":[{"id":1130,"uris":["http://zotero.org/users/1192080/items/X6AR492H"],"uri":["http://zotero.org/users/1192080/items/X6AR492H"],"itemData":{"id":1130,"type":"report","title":"Non-Compete Agreements: Analysis of the Usage, Potential Issues, and State Responses","publisher-place":"US - Washington, DC","event-place":"US - Washington, DC","abstract":"Non-compete agreements, or “non-competes,” are contracts that prevent workers from working for competing employers within a certain period of time after leaving a job. The primary purpose of these agreements is to protect a company’s private property and to encourage creativity by preventing workers with ‘trade secrets’ from transferring technical and intellectual property to rival … Continue reading \"White House Report on Non-Compete Agreements\"","URL":"https://obamawhitehouse.archives.gov/sites/default/files/non-competes_report_final2.pdf","language":"en-US","author":[{"family":"US Whitehouse","given":""}],"issued":{"date-parts":[["2016",5]]},"accessed":{"date-parts":[["2018",7,7]]}},"locator":"5","label":"page"}],"schema":"https://github.com/citation-style-language/schema/raw/master/csl-citation.json"}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US Whitehouse, “Non-Compete Agreements: Analysis of the Usage, Potential Issues, and State Responses” (US - Washington, DC, May 2016), 5.</w:t>
      </w:r>
      <w:r w:rsidRPr="00542E3E">
        <w:rPr>
          <w:rFonts w:ascii="Times New Roman" w:hAnsi="Times New Roman" w:cs="Times New Roman"/>
        </w:rPr>
        <w:fldChar w:fldCharType="end"/>
      </w:r>
    </w:p>
  </w:footnote>
  <w:footnote w:id="8">
    <w:p w14:paraId="4E36F482" w14:textId="5F2E53AE"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{"citationID":"SBPHBAUO","properties":{"formattedCitation":"U.S. Department of the Treasury, \\uc0\\u8220{}Non-Compete Contracts,\\uc0\\u8221{} 6.","plainCitation":"U.S. Department of the Treasury, “Non-Compete Contracts,” 6.","dontUpdate":true,"noteIndex":8},"citationItems":[{"id":1127,"uris":["http://zotero.org/users/1192080/items/H4Y5XD8J"],"uri":["http://zotero.org/users/1192080/items/H4Y5XD8J"],"itemData":{"id":1127,"type":"article-journal","title":"Non-compete Contracts: Economic Effects and Policy Implications","container-title":"Federal Publications, Washington, D.C., US","URL":"https://digitalcommons.ilr.cornell.edu/key_workplace/1904","shortTitle":"Non-compete Contracts","author":[{"family":"U.S. Department of the Treasury","given":""}],"issued":{"date-parts":[["2016",3,1]]}},"locator":"6","label":"page"}],"schema":"https://github.com/citation-style-language/schema/raw/master/csl-citation.json"}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U.S. Department of the Treasury, “Non-Compete Contracts,” 6</w:t>
      </w:r>
      <w:r w:rsidRPr="00542E3E">
        <w:rPr>
          <w:rFonts w:ascii="Times New Roman" w:hAnsi="Times New Roman" w:cs="Times New Roman"/>
          <w:lang w:val="vi-VN"/>
        </w:rPr>
        <w:t>, 8-9</w:t>
      </w:r>
      <w:r w:rsidRPr="00542E3E">
        <w:rPr>
          <w:rFonts w:ascii="Times New Roman" w:hAnsi="Times New Roman" w:cs="Times New Roman"/>
        </w:rPr>
        <w:t>.</w:t>
      </w:r>
      <w:r w:rsidRPr="00542E3E">
        <w:rPr>
          <w:rFonts w:ascii="Times New Roman" w:hAnsi="Times New Roman" w:cs="Times New Roman"/>
        </w:rPr>
        <w:fldChar w:fldCharType="end"/>
      </w:r>
    </w:p>
  </w:footnote>
  <w:footnote w:id="9">
    <w:p w14:paraId="7746FD65" w14:textId="55C1DCAD"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{"citationID":"yizEOp6h","properties":{"formattedCitation":"US Whitehouse, \\uc0\\u8220{}Non-Compete Agreements: Analysis of the Usage, Potential Issues, and State Responses,\\uc0\\u8221{} 5.","plainCitation":"US Whitehouse, “Non-Compete Agreements: Analysis of the Usage, Potential Issues, and State Responses,” 5.","noteIndex":10},"citationItems":[{"id":1130,"uris":["http://zotero.org/users/1192080/items/X6AR492H"],"uri":["http://zotero.org/users/1192080/items/X6AR492H"],"itemData":{"id":1130,"type":"report","title":"Non-Compete Agreements: Analysis of the Usage, Potential Issues, and State Responses","publisher-place":"US - Washington, DC","event-place":"US - Washington, DC","abstract":"Non-compete agreements, or “non-competes,” are contracts that prevent workers from working for competing employers within a certain period of time after leaving a job. The primary purpose of these agreements is to protect a company’s private property and to encourage creativity by preventing workers with ‘trade secrets’ from transferring technical and intellectual property to rival … Continue reading \"White House Report on Non-Compete Agreements\"","URL":"https://obamawhitehouse.archives.gov/sites/default/files/non-competes_report_final2.pdf","language":"en-US","author":[{"family":"US Whitehouse","given":""}],"issued":{"date-parts":[["2016",5]]},"accessed":{"date-parts":[["2018",7,7]]}},"locator":"5","label":"page"}],"schema":"https://github.com/citation-style-language/schema/raw/master/csl-citation.json"}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US Whitehouse, “Non-Compete Agreements: Analysis of the Usage, Potential Issues, and State Responses,” 5.</w:t>
      </w:r>
      <w:r w:rsidRPr="00542E3E">
        <w:rPr>
          <w:rFonts w:ascii="Times New Roman" w:hAnsi="Times New Roman" w:cs="Times New Roman"/>
        </w:rPr>
        <w:fldChar w:fldCharType="end"/>
      </w:r>
    </w:p>
  </w:footnote>
  <w:footnote w:id="10">
    <w:p w14:paraId="02FE0482" w14:textId="68017926"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{"citationID":"MOnQNhE6","properties":{"formattedCitation":"Xem th\\uc0\\u234{}m: US Whitehouse, \\uc0\\u8220{}State Call to Action on Non-Compete Agreements.\\uc0\\u8221{}","plainCitation":"Xem thêm: US Whitehouse, “State Call to Action on Non-Compete Agreements.”","noteIndex":11},"citationItems":[{"id":1133,"uris":["http://zotero.org/users/1192080/items/5C8VUMHX"],"uri":["http://zotero.org/users/1192080/items/5C8VUMHX"],"itemData":{"id":1133,"type":"report","title":"State Call to Action on Non-Compete Agreements","publisher-place":"US - Washington, DC","event-place":"US - Washington, DC","URL":"https://obamawhitehouse.archives.gov/sites/default/files/competition/noncompetes-calltoaction-final.pdf","language":"en-US","author":[{"family":"US Whitehouse","given":""}],"issued":{"date-parts":[["2016",12,25]]},"accessed":{"date-parts":[["2018",7,7]]}},"prefix":"Xem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Xem thêm: US Whitehouse, “State Call to Action on Non-Compete Agreements.”</w:t>
      </w:r>
      <w:r w:rsidRPr="00542E3E">
        <w:rPr>
          <w:rFonts w:ascii="Times New Roman" w:hAnsi="Times New Roman" w:cs="Times New Roman"/>
        </w:rPr>
        <w:fldChar w:fldCharType="end"/>
      </w:r>
    </w:p>
  </w:footnote>
  <w:footnote w:id="11">
    <w:p w14:paraId="778C8E8C" w14:textId="6C52DAC9"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{"citationID":"ScOHuxzp","properties":{"formattedCitation":"Smith, \\uc0\\u8220{}Summary of Covenants Not To Compete,\\uc0\\u8221{} 363.","plainCitation":"Smith, “Summary of Covenants Not To Compete,” 363.","noteIndex":12},"citationItems":[{"id":1114,"uris":["http://zotero.org/users/1192080/items/6EXBLEZX"],"uri":["http://zotero.org/users/1192080/items/6EXBLEZX"],"itemData":{"id":1114,"type":"article","title":"Summary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Compete","language":"en","author":[{"family":"Smith","given":"Reed"}],"issued":{"date-parts":[["2011"]]}},"locator":"363","label":"page"}],"schema":"https://github.com/citation-style-language/schema/raw/master/csl-citation.json"}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Smith, “Summary of Covenants Not To Compete,” 363.</w:t>
      </w:r>
      <w:r w:rsidRPr="00542E3E">
        <w:rPr>
          <w:rFonts w:ascii="Times New Roman" w:hAnsi="Times New Roman" w:cs="Times New Roman"/>
        </w:rPr>
        <w:fldChar w:fldCharType="end"/>
      </w:r>
    </w:p>
  </w:footnote>
  <w:footnote w:id="12">
    <w:p w14:paraId="6EE591FB" w14:textId="32F97EF9"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{"citationID":"M3D3Fkdp","properties":{"formattedCitation":"Smith, 330.","plainCitation":"Smith, 330.","noteIndex":13},"citationItems":[{"id":1114,"uris":["http://zotero.org/users/1192080/items/6EXBLEZX"],"uri":["http://zotero.org/users/1192080/items/6EXBLEZX"],"itemData":{"id":1114,"type":"article","title":"Summary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Compete","language":"en","author":[{"family":"Smith","given":"Reed"}],"issued":{"date-parts":[["2011"]]}},"locator":"330","label":"page"}],"schema":"https://github.com/citation-style-language/schema/raw/master/csl-citation.json"}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Smith, 330.</w:t>
      </w:r>
      <w:r w:rsidRPr="00542E3E">
        <w:rPr>
          <w:rFonts w:ascii="Times New Roman" w:hAnsi="Times New Roman" w:cs="Times New Roman"/>
        </w:rPr>
        <w:fldChar w:fldCharType="end"/>
      </w:r>
    </w:p>
  </w:footnote>
  <w:footnote w:id="13">
    <w:p w14:paraId="236B84B7" w14:textId="3F63419A"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{"citationID":"MODu80IC","properties":{"formattedCitation":"Smith, 389.","plainCitation":"Smith, 389.","noteIndex":14},"citationItems":[{"id":1114,"uris":["http://zotero.org/users/1192080/items/6EXBLEZX"],"uri":["http://zotero.org/users/1192080/items/6EXBLEZX"],"itemData":{"id":1114,"type":"article","title":"Summary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Compete","language":"en","author":[{"family":"Smith","given":"Reed"}],"issued":{"date-parts":[["2011"]]}},"locator":"389","label":"page"}],"schema":"https://github.com/citation-style-language/schema/raw/master/csl-citation.json"}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Smith, 389.</w:t>
      </w:r>
      <w:r w:rsidRPr="00542E3E">
        <w:rPr>
          <w:rFonts w:ascii="Times New Roman" w:hAnsi="Times New Roman" w:cs="Times New Roman"/>
        </w:rPr>
        <w:fldChar w:fldCharType="end"/>
      </w:r>
    </w:p>
  </w:footnote>
  <w:footnote w:id="14">
    <w:p w14:paraId="6A1B5CC8" w14:textId="1C87F533"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{"citationID":"3St2TISE","properties":{"formattedCitation":"Janice Payne, \\uc0\\u8220{}Employment Contracts - How to Lay a Solid Foundation,\\uc0\\u8221{} {\\i{}Nelligan O Brien Payne, Ontario (Canada)}, May 28, 2017, 17.","plainCitation":"Janice Payne, “Employment Contracts - How to Lay a Solid Foundation,” Nelligan O Brien Payne, Ontario (Canada), May 28, 2017, 17.","noteIndex":15},"citationItems":[{"id":1113,"uris":["http://zotero.org/users/1192080/items/BWTALS33"],"uri":["http://zotero.org/users/1192080/items/BWTALS33"],"itemData":{"id":1113,"type":"article-journal","title":"Employment Contracts - How to Lay a Solid Foundation","container-title":"Nelligan O Brien Payne, Ontario (Canada)","page":"31","source":"Zotero","language":"en","author":[{"family":"Payne","given":"Janice"}],"issued":{"date-parts":[["2017",5,28]]}},"locator":"17","label":"page"}],"schema":"https://github.com/citation-style-language/schema/raw/master/csl-citation.json"}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 xml:space="preserve">Janice Payne, “Employment Contracts - How to Lay a Solid Foundation,” </w:t>
      </w:r>
      <w:r w:rsidRPr="00542E3E">
        <w:rPr>
          <w:rFonts w:ascii="Times New Roman" w:hAnsi="Times New Roman" w:cs="Times New Roman"/>
          <w:i/>
          <w:iCs/>
        </w:rPr>
        <w:t>Nelligan O Brien Payne, Ontario (Canada)</w:t>
      </w:r>
      <w:r w:rsidRPr="00542E3E">
        <w:rPr>
          <w:rFonts w:ascii="Times New Roman" w:hAnsi="Times New Roman" w:cs="Times New Roman"/>
        </w:rPr>
        <w:t>, May 28, 2017, 17.</w:t>
      </w:r>
      <w:r w:rsidRPr="00542E3E">
        <w:rPr>
          <w:rFonts w:ascii="Times New Roman" w:hAnsi="Times New Roman" w:cs="Times New Roman"/>
        </w:rPr>
        <w:fldChar w:fldCharType="end"/>
      </w:r>
    </w:p>
  </w:footnote>
  <w:footnote w:id="15">
    <w:p w14:paraId="4EEC4E04" w14:textId="5D24163B"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{"citationID":"1arkigYj","properties":{"formattedCitation":"Xem th\\uc0\\u234{}m: Smith, \\uc0\\u8220{}Summary of Covenants Not To Compete.\\uc0\\u8221{}","plainCitation":"Xem thêm: Smith, “Summary of Covenants Not To Compete.”","noteIndex":16},"citationItems":[{"id":1114,"uris":["http://zotero.org/users/1192080/items/6EXBLEZX"],"uri":["http://zotero.org/users/1192080/items/6EXBLEZX"],"itemData":{"id":1114,"type":"article","title":"Summary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Xem thêm: Smith, “Summary of Covenants Not To Compete.”</w:t>
      </w:r>
      <w:r w:rsidRPr="00542E3E">
        <w:rPr>
          <w:rFonts w:ascii="Times New Roman" w:hAnsi="Times New Roman" w:cs="Times New Roman"/>
        </w:rPr>
        <w:fldChar w:fldCharType="end"/>
      </w:r>
    </w:p>
  </w:footnote>
  <w:footnote w:id="16">
    <w:p w14:paraId="0F704843" w14:textId="3223786B"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{"citationID":"yK2WUn8w","properties":{"formattedCitation":"Smith, 374\\uc0\\u8211{}75.","plainCitation":"Smith, 374–75.","noteIndex":17},"citationItems":[{"id":1114,"uris":["http://zotero.org/users/1192080/items/6EXBLEZX"],"uri":["http://zotero.org/users/1192080/items/6EXBLEZX"],"itemData":{"id":1114,"type":"article","title":"Summary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Compete","language":"en","author":[{"family":"Smith","given":"Reed"}],"issued":{"date-parts":[["2011"]]}},"locator":"374-375","label":"page"}],"schema":"https://github.com/citation-style-language/schema/raw/master/csl-citation.json"}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Smith, 374–75.</w:t>
      </w:r>
      <w:r w:rsidRPr="00542E3E">
        <w:rPr>
          <w:rFonts w:ascii="Times New Roman" w:hAnsi="Times New Roman" w:cs="Times New Roman"/>
        </w:rPr>
        <w:fldChar w:fldCharType="end"/>
      </w:r>
    </w:p>
  </w:footnote>
  <w:footnote w:id="17">
    <w:p w14:paraId="332413D1" w14:textId="336F747A"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{"citationID":"ShdodtWE","properties":{"formattedCitation":"Xem th\\uc0\\u234{}m th\\uc0\\u244{}ng tin v\\uc0\\u7873{} c\\uc0\\u225{}c v\\uc0\\u7909{} vi\\uc0\\u7879{}c t\\uc0\\u7841{}i: Smith, 375\\uc0\\u8211{}76.","plainCitation":"Xem thêm thông tin về các vụ việc tại: Smith, 375–76.","noteIndex":18},"citationItems":[{"id":1114,"uris":["http://zotero.org/users/1192080/items/6EXBLEZX"],"uri":["http://zotero.org/users/1192080/items/6EXBLEZX"],"itemData":{"id":1114,"type":"article","title":"Summary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Compete","language":"en","author":[{"family":"Smith","given":"Reed"}],"issued":{"date-parts":[["2011"]]}},"locator":"375-376","label":"page","prefix":"Xem thêm thông tin về các vụ việc tại: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Xem thêm thông tin về các vụ việc tại: Smith, 375–76.</w:t>
      </w:r>
      <w:r w:rsidRPr="00542E3E">
        <w:rPr>
          <w:rFonts w:ascii="Times New Roman" w:hAnsi="Times New Roman" w:cs="Times New Roman"/>
        </w:rPr>
        <w:fldChar w:fldCharType="end"/>
      </w:r>
    </w:p>
  </w:footnote>
  <w:footnote w:id="18">
    <w:p w14:paraId="616DB62B" w14:textId="2C0D48BD" w:rsidR="0065093A" w:rsidRDefault="0065093A">
      <w:pPr>
        <w:pStyle w:val="FootnoteText"/>
      </w:pPr>
      <w:r>
        <w:rPr>
          <w:rStyle w:val="FootnoteReference"/>
        </w:rPr>
        <w:footnoteRef/>
      </w:r>
      <w:r>
        <w:t xml:space="preserve"> </w:t>
      </w:r>
      <w:r w:rsidRPr="00542E3E">
        <w:rPr>
          <w:rFonts w:ascii="Times New Roman" w:hAnsi="Times New Roman" w:cs="Times New Roman"/>
        </w:rPr>
        <w:fldChar w:fldCharType="begin"/>
      </w:r>
      <w:r w:rsidRPr="00542E3E">
        <w:rPr>
          <w:rFonts w:ascii="Times New Roman" w:hAnsi="Times New Roman" w:cs="Times New Roman"/>
        </w:rPr>
        <w:instrText xml:space="preserve"> ADDIN ZOTERO_ITEM CSL_CITATION {"citationID":"1arkigYj","properties":{"formattedCitation":"Xem th\\uc0\\u234{}m: Smith, \\uc0\\u8220{}Summary of Covenants Not To Compete.\\uc0\\u8221{}","plainCitation":"Xem thêm: Smith, “Summary of Covenants Not To Compete.”","noteIndex":16},"citationItems":[{"id":1114,"uris":["http://zotero.org/users/1192080/items/6EXBLEZX"],"uri":["http://zotero.org/users/1192080/items/6EXBLEZX"],"itemData":{"id":1114,"type":"article","title":"Summary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Xem thêm: Smith, “Summary of Covenants Not To Compete.”</w:t>
      </w:r>
      <w:r w:rsidRPr="00542E3E">
        <w:rPr>
          <w:rFonts w:ascii="Times New Roman" w:hAnsi="Times New Roman" w:cs="Times New Roman"/>
        </w:rPr>
        <w:fldChar w:fldCharType="end"/>
      </w:r>
    </w:p>
  </w:footnote>
  <w:footnote w:id="19">
    <w:p w14:paraId="602567FD" w14:textId="4BE754D3"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{"citationID":"WuwMdqo9","properties":{"formattedCitation":"Ontario Court, Lyons v. Multari / 50 O.R. (3d) 526  [2000] O.J. No. 3462, No. C31362 (Court of Appeal for Ontario (Canada) September 21, 2000).","plainCitation":"Ontario Court, Lyons v. Multari / 50 O.R. (3d) 526  [2000] O.J. No. 3462, No. C31362 (Court of Appeal for Ontario (Canada) September 21, 2000).","dontUpdate":true,"noteIndex":19},"citationItems":[{"id":1141,"uris":["http://zotero.org/users/1192080/items/ZPMR4VUT"],"uri":["http://zotero.org/users/1192080/items/ZPMR4VUT"],"itemData":{"id":1141,"type":"legal_case","title":"Lyons v. Multari / 50 O.R. (3d) 526  [2000] O.J. No. 3462","authority":"Court of Appeal for Ontario (Canada)","URL":"http://canlii.ca/t/1fbbp","number":"C31362","author":[{"family":"Ontario Court","given":""}],"issued":{"date-parts":[["2000",9,21]]},"accessed":{"date-parts":[["2018",7,7]]}}}],"schema":"https://github.com/citation-style-language/schema/raw/master/csl-citation.json"} </w:instrText>
      </w:r>
      <w:r w:rsidRPr="00542E3E">
        <w:rPr>
          <w:rFonts w:ascii="Times New Roman" w:hAnsi="Times New Roman" w:cs="Times New Roman"/>
        </w:rPr>
        <w:fldChar w:fldCharType="separate"/>
      </w:r>
      <w:r w:rsidR="00C36AB7" w:rsidRPr="00542E3E">
        <w:rPr>
          <w:rFonts w:ascii="Times New Roman" w:hAnsi="Times New Roman" w:cs="Times New Roman"/>
        </w:rPr>
        <w:t>Ontario Court, Lyons v. Multari / 50 O.R. (3d) 526 [2000] O.J. No. 3462, No. C31362 (Court of Appeal for Ontario (Canada) September 21, 2000).</w:t>
      </w:r>
      <w:r w:rsidRPr="00542E3E">
        <w:rPr>
          <w:rFonts w:ascii="Times New Roman" w:hAnsi="Times New Roman" w:cs="Times New Roman"/>
        </w:rPr>
        <w:fldChar w:fldCharType="end"/>
      </w:r>
    </w:p>
  </w:footnote>
  <w:footnote w:id="20">
    <w:p w14:paraId="5CA01FD5" w14:textId="443C0F33" w:rsidR="00C36AB7" w:rsidRPr="00542E3E" w:rsidRDefault="00C36AB7"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{"citationID":"56T6IKKf","properties":{"formattedCitation":"Ontario Court, paragraph 31.","plainCitation":"Ontario Court, paragraph 31.","noteIndex":20},"citationItems":[{"id":1141,"uris":["http://zotero.org/users/1192080/items/ZPMR4VUT"],"uri":["http://zotero.org/users/1192080/items/ZPMR4VUT"],"itemData":{"id":1141,"type":"legal_case","title":"Lyons v. Multari / 50 O.R. (3d) 526  [2000] O.J. No. 3462","authority":"Court of Appeal for Ontario (Canada)","URL":"http://canlii.ca/t/1fbbp","number":"C31362","author":[{"family":"Ontario Court","given":""}],"issued":{"date-parts":[["2000",9,21]]},"accessed":{"date-parts":[["2018",7,7]]}},"locator":"31","label":"paragraph"}],"schema":"https://github.com/citation-style-language/schema/raw/master/csl-citation.json"}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Ontario Court, paragraph 31.</w:t>
      </w:r>
      <w:r w:rsidRPr="00542E3E">
        <w:rPr>
          <w:rFonts w:ascii="Times New Roman" w:hAnsi="Times New Roman" w:cs="Times New Roman"/>
        </w:rPr>
        <w:fldChar w:fldCharType="end"/>
      </w:r>
    </w:p>
  </w:footnote>
  <w:footnote w:id="21">
    <w:p w14:paraId="0A9F2EB7" w14:textId="6FBEB062"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{"citationID":"9ZCKw3E9","properties":{"formattedCitation":"Arizona Court, Valley Medical Specialists v. Steven S. Farbber, D.O. and Susan H. Farber / CV-97-0488-PR (Supreme Court of Arizona,En Banc. June 18, 1999).","plainCitation":"Arizona Court, Valley Medical Specialists v. Steven S. Farbber, D.O. and Susan H. Farber / CV-97-0488-PR (Supreme Court of Arizona,En Banc. June 18, 1999).","dontUpdate":true,"noteIndex":21},"citationItems":[{"id":1145,"uris":["http://zotero.org/users/1192080/items/DXPDIIXX"],"uri":["http://zotero.org/users/1192080/items/DXPDIIXX"],"itemData":{"id":1145,"type":"legal_case","title":"Valley Medical Specialists v. Steven S. Farbber, D.O. and Susan H. Farber / CV-97-0488-PR","authority":"Supreme Court of Arizona,En Banc.","abstract":"FindLaw's searchable database of Supreme Court of Arizona decisions since","URL":"https://caselaw.findlaw.com/az-supreme-court/1410944.html","language":"en-US","author":[{"family":"Arizona Court","given":""}],"issued":{"date-parts":[["1999",6,18]]},"accessed":{"date-parts":[["2018",7,7]]}}}],"schema":"https://github.com/citation-style-language/schema/raw/master/csl-citation.json"} </w:instrText>
      </w:r>
      <w:r w:rsidRPr="00542E3E">
        <w:rPr>
          <w:rFonts w:ascii="Times New Roman" w:hAnsi="Times New Roman" w:cs="Times New Roman"/>
        </w:rPr>
        <w:fldChar w:fldCharType="separate"/>
      </w:r>
      <w:r w:rsidR="00C36AB7" w:rsidRPr="00542E3E">
        <w:rPr>
          <w:rFonts w:ascii="Times New Roman" w:hAnsi="Times New Roman" w:cs="Times New Roman"/>
        </w:rPr>
        <w:t>Arizona Court, Valley Medical Specialists v. Steven S. Farbber, D.O. and Susan H. Farber / CV-97-0488-PR (Supreme Court of Arizona,</w:t>
      </w:r>
      <w:r w:rsidR="001C5C6E" w:rsidRPr="00542E3E">
        <w:rPr>
          <w:rFonts w:ascii="Times New Roman" w:hAnsi="Times New Roman" w:cs="Times New Roman"/>
        </w:rPr>
        <w:t xml:space="preserve"> </w:t>
      </w:r>
      <w:r w:rsidR="00C36AB7" w:rsidRPr="00542E3E">
        <w:rPr>
          <w:rFonts w:ascii="Times New Roman" w:hAnsi="Times New Roman" w:cs="Times New Roman"/>
        </w:rPr>
        <w:t>En Banc. June 18, 1999).</w:t>
      </w:r>
      <w:r w:rsidRPr="00542E3E">
        <w:rPr>
          <w:rFonts w:ascii="Times New Roman" w:hAnsi="Times New Roman" w:cs="Times New Roman"/>
        </w:rPr>
        <w:fldChar w:fldCharType="end"/>
      </w:r>
    </w:p>
  </w:footnote>
  <w:footnote w:id="22">
    <w:p w14:paraId="643A39D6" w14:textId="296FA257"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{"citationID":"lpC85K0o","properties":{"formattedCitation":"Smith, \\uc0\\u8220{}Summary of Covenants Not To Compete,\\uc0\\u8221{} 13.","plainCitation":"Smith, “Summary of Covenants Not To Compete,” 13.","noteIndex":22},"citationItems":[{"id":1114,"uris":["http://zotero.org/users/1192080/items/6EXBLEZX"],"uri":["http://zotero.org/users/1192080/items/6EXBLEZX"],"itemData":{"id":1114,"type":"article","title":"Summary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Compete","language":"en","author":[{"family":"Smith","given":"Reed"}],"issued":{"date-parts":[["2011"]]}},"locator":"13","label":"page"}],"schema":"https://github.com/citation-style-language/schema/raw/master/csl-citation.json"}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Smith, “Summary of Covenants Not To Compete,” 13.</w:t>
      </w:r>
      <w:r w:rsidRPr="00542E3E">
        <w:rPr>
          <w:rFonts w:ascii="Times New Roman" w:hAnsi="Times New Roman" w:cs="Times New Roman"/>
        </w:rPr>
        <w:fldChar w:fldCharType="end"/>
      </w:r>
    </w:p>
  </w:footnote>
  <w:footnote w:id="23">
    <w:p w14:paraId="652CD014" w14:textId="3E7417E7"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{"citationID":"DGNA3JQE","properties":{"formattedCitation":"Smith, 65\\uc0\\u8211{}68.","plainCitation":"Smith, 65–68.","noteIndex":23},"citationItems":[{"id":1114,"uris":["http://zotero.org/users/1192080/items/6EXBLEZX"],"uri":["http://zotero.org/users/1192080/items/6EXBLEZX"],"itemData":{"id":1114,"type":"article","title":"Summary of Covenants Not To Compete: A Global Perspective","publisher":"Fenwick &amp; West LLP, US","source":"Zotero","abstract":"Fenwick participated in a substantial collaborative effort by the members of the The Techlaw Group on the subject of Covenants Not to Compete.","shortTitle":"Summary of Covenants Not To Compete","language":"en","author":[{"family":"Smith","given":"Reed"}],"issued":{"date-parts":[["2011"]]}},"locator":"65-68","label":"page"}],"schema":"https://github.com/citation-style-language/schema/raw/master/csl-citation.json"}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Smith, 65–68.</w:t>
      </w:r>
      <w:r w:rsidRPr="00542E3E">
        <w:rPr>
          <w:rFonts w:ascii="Times New Roman" w:hAnsi="Times New Roman" w:cs="Times New Roman"/>
        </w:rPr>
        <w:fldChar w:fldCharType="end"/>
      </w:r>
    </w:p>
  </w:footnote>
  <w:footnote w:id="24">
    <w:p w14:paraId="0707613D" w14:textId="3128C7D1"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{"citationID":"vV1AQSWs","properties":{"formattedCitation":"Taxas Court, Alex Sheshunoff Mgmt L.P. v. v. Kenneth Johnson and Strunk &amp; Associates, L.P. / No.\\uc0\\u8194{}03-1050 (Supreme Court of Texas October 20, 2006).","plainCitation":"Taxas Court, Alex Sheshunoff Mgmt L.P. v. v. Kenneth Johnson and Strunk &amp; Associates, L.P. / No. 03-1050 (Supreme Court of Texas October 20, 2006).","noteIndex":24},"citationItems":[{"id":1147,"uris":["http://zotero.org/users/1192080/items/XK4NR9AH"],"uri":["http://zotero.org/users/1192080/items/XK4NR9AH"],"itemData":{"id":1147,"type":"legal_case","title":"Alex Sheshunoff Mgmt L.P. v. v. Kenneth Johnson and Strunk &amp; Associates, L.P. / No. 03-1050","authority":"Supreme Court of Texas","abstract":"FindLaw's searchable database of Supreme Court of Texas decisions since","URL":"https://caselaw.findlaw.com/tx-supreme-court/1490027.html","language":"en-US","author":[{"family":"Taxas Court","given":""}],"issued":{"date-parts":[["2006",10,20]]},"accessed":{"date-parts":[["2018",7,7]]}}}],"schema":"https://github.com/citation-style-language/schema/raw/master/csl-citation.json"}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Taxas Court, Alex Sheshunoff Mgmt L.P. v. v. Kenneth Johnson and Strunk &amp; Associates, L.P. / No.</w:t>
      </w:r>
      <w:r w:rsidRPr="00542E3E">
        <w:rPr>
          <w:rFonts w:ascii="Times New Roman" w:hAnsi="Times New Roman" w:cs="Times New Roman"/>
        </w:rPr>
        <w:t> </w:t>
      </w:r>
      <w:r w:rsidRPr="00542E3E">
        <w:rPr>
          <w:rFonts w:ascii="Times New Roman" w:hAnsi="Times New Roman" w:cs="Times New Roman"/>
        </w:rPr>
        <w:t>03-1050 (Supreme Court of Texas October 20, 2006).</w:t>
      </w:r>
      <w:r w:rsidRPr="00542E3E">
        <w:rPr>
          <w:rFonts w:ascii="Times New Roman" w:hAnsi="Times New Roman" w:cs="Times New Roman"/>
        </w:rPr>
        <w:fldChar w:fldCharType="end"/>
      </w:r>
    </w:p>
  </w:footnote>
  <w:footnote w:id="25">
    <w:p w14:paraId="21F71401" w14:textId="5E9F147F"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{"citationID":"rvO1VXkO","properties":{"formattedCitation":"Ph\\uc0\\u7847{}n IV. Taxas Court.","plainCitation":"Phần IV. Taxas Court.","noteIndex":25},"citationItems":[{"id":1147,"uris":["http://zotero.org/users/1192080/items/XK4NR9AH"],"uri":["http://zotero.org/users/1192080/items/XK4NR9AH"],"itemData":{"id":1147,"type":"legal_case","title":"Alex Sheshunoff Mgmt L.P. v. v. Kenneth Johnson and Strunk &amp; Associates, L.P. / No. 03-1050","authority":"Supreme Court of Texas","abstract":"FindLaw's searchable database of Supreme Court of Texas decisions since","URL":"https://caselaw.findlaw.com/tx-supreme-court/1490027.html","language":"en-US","author":[{"family":"Taxas Court","given":""}],"issued":{"date-parts":[["2006",10,20]]},"accessed":{"date-parts":[["2018",7,7]]}},"prefix":"Phần IV.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Phần IV. Taxas Court.</w:t>
      </w:r>
      <w:r w:rsidRPr="00542E3E">
        <w:rPr>
          <w:rFonts w:ascii="Times New Roman" w:hAnsi="Times New Roman" w:cs="Times New Roman"/>
        </w:rPr>
        <w:fldChar w:fldCharType="end"/>
      </w:r>
    </w:p>
  </w:footnote>
  <w:footnote w:id="26">
    <w:p w14:paraId="1B0A95DE" w14:textId="58183A18" w:rsidR="00707551" w:rsidRPr="00542E3E" w:rsidRDefault="00707551" w:rsidP="00542E3E">
      <w:pPr>
        <w:pStyle w:val="FootnoteText"/>
        <w:adjustRightInd w:val="0"/>
        <w:snapToGrid w:val="0"/>
        <w:spacing w:after="80"/>
        <w:jc w:val="both"/>
        <w:rPr>
          <w:rFonts w:ascii="Times New Roman" w:hAnsi="Times New Roman" w:cs="Times New Roma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{"citationID":"Fw7iLG5z","properties":{"formattedCitation":"Michael D. Paul &amp; Ian C. Crawford, \\uc0\\u8220{}Refocusing Light: Alex Sheshunoff Mangement Services, L.P. v. Johnson Moves Back to the Basic of Convenants Not to Compete,\\uc0\\u8221{} {\\i{}ST. Mary\\uc0\\u8217{}s Law Journal} 38 (2007): 752\\uc0\\u8211{}53.","plainCitation":"Michael D. Paul &amp; Ian C. Crawford, “Refocusing Light: Alex Sheshunoff Mangement Services, L.P. v. Johnson Moves Back to the Basic of Convenants Not to Compete,” ST. Mary’s Law Journal 38 (2007): 752–53.","noteIndex":26},"citationItems":[{"id":1138,"uris":["http://zotero.org/users/1192080/items/YBI9UYQD"],"uri":["http://zotero.org/users/1192080/items/YBI9UYQD"],"itemData":{"id":1138,"type":"article-journal","title":"Refocusing Light: Alex Sheshunoff mangement services, L.P. v. Johnson moves back to the basic of convenants not to compete","container-title":"ST. Mary's Law Journal","volume":"38","author":[{"family":"Michael D. Paul &amp; Ian C. Crawford","given":""}],"issued":{"date-parts":[["2007"]]}},"locator":"752-753","label":"page"}],"schema":"https://github.com/citation-style-language/schema/raw/master/csl-citation.json"}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 xml:space="preserve">Michael D. Paul &amp; Ian C. Crawford, “Refocusing Light: Alex Sheshunoff Mangement Services, L.P. v. Johnson Moves Back to the Basic of Convenants Not to Compete,” </w:t>
      </w:r>
      <w:r w:rsidRPr="00542E3E">
        <w:rPr>
          <w:rFonts w:ascii="Times New Roman" w:hAnsi="Times New Roman" w:cs="Times New Roman"/>
          <w:i/>
          <w:iCs/>
        </w:rPr>
        <w:t>ST. Mary’s Law Journal</w:t>
      </w:r>
      <w:r w:rsidRPr="00542E3E">
        <w:rPr>
          <w:rFonts w:ascii="Times New Roman" w:hAnsi="Times New Roman" w:cs="Times New Roman"/>
        </w:rPr>
        <w:t xml:space="preserve"> 38 (2007): 752–53.</w:t>
      </w:r>
      <w:r w:rsidRPr="00542E3E">
        <w:rPr>
          <w:rFonts w:ascii="Times New Roman" w:hAnsi="Times New Roman" w:cs="Times New Roman"/>
        </w:rPr>
        <w:fldChar w:fldCharType="end"/>
      </w:r>
    </w:p>
  </w:footnote>
  <w:footnote w:id="27">
    <w:p w14:paraId="22A369B1" w14:textId="73FD24B7"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{"citationID":"x1nwQhGL","properties":{"formattedCitation":"Xem th\\uc0\\u234{}m: Matt Sheridan, \\uc0\\u8220{}Who Dimmed the Light?: How Marsh USA Inc.V.Cook Impacts Covenants Not to Compete in Taxas,\\uc0\\u8221{} {\\i{}Baylor Law Review} 65 (n.d.): 24.","plainCitation":"Xem thêm: Matt Sheridan, “Who Dimmed the Light?: How Marsh USA Inc.V.Cook Impacts Covenants Not to Compete in Taxas,” Baylor Law Review 65 (n.d.): 24.","dontUpdate":true,"noteIndex":27},"citationItems":[{"id":1140,"uris":["http://zotero.org/users/1192080/items/TEGT6G9D"],"uri":["http://zotero.org/users/1192080/items/TEGT6G9D"],"itemData":{"id":1140,"type":"article-journal","title":"Who dimmed the Light?: How Marsh USA Inc.V.Cook impacts covenants not to compete in Taxas","container-title":"Baylor Law Review","page":"24","volume":"65","source":"Zotero","language":"en","author":[{"family":"Sheridan","given":"Matt"}]},"prefix":"Xem thêm: "}],"schema":"https://github.com/citation-style-language/schema/raw/master/csl-citation.json"} </w:instrText>
      </w:r>
      <w:r w:rsidRPr="00542E3E">
        <w:rPr>
          <w:rFonts w:ascii="Times New Roman" w:hAnsi="Times New Roman" w:cs="Times New Roman"/>
        </w:rPr>
        <w:fldChar w:fldCharType="separate"/>
      </w:r>
      <w:r w:rsidR="00C36AB7" w:rsidRPr="00542E3E">
        <w:rPr>
          <w:rFonts w:ascii="Times New Roman" w:hAnsi="Times New Roman" w:cs="Times New Roman"/>
        </w:rPr>
        <w:t xml:space="preserve">Xem thêm: Matt Sheridan, “Who Dimmed the Light?: How Marsh USA Inc.V.Cook Impacts Covenants Not to Compete in Taxas,” </w:t>
      </w:r>
      <w:r w:rsidR="00C36AB7" w:rsidRPr="00542E3E">
        <w:rPr>
          <w:rFonts w:ascii="Times New Roman" w:hAnsi="Times New Roman" w:cs="Times New Roman"/>
          <w:i/>
          <w:iCs/>
        </w:rPr>
        <w:t>Baylor Law Review</w:t>
      </w:r>
      <w:r w:rsidR="00527DF2" w:rsidRPr="00542E3E">
        <w:rPr>
          <w:rFonts w:ascii="Times New Roman" w:hAnsi="Times New Roman" w:cs="Times New Roman"/>
          <w:i/>
          <w:iCs/>
        </w:rPr>
        <w:t>,</w:t>
      </w:r>
      <w:r w:rsidR="00527DF2" w:rsidRPr="00542E3E">
        <w:rPr>
          <w:rFonts w:ascii="Times New Roman" w:hAnsi="Times New Roman" w:cs="Times New Roman"/>
        </w:rPr>
        <w:t xml:space="preserve"> 65</w:t>
      </w:r>
      <w:r w:rsidR="00C36AB7" w:rsidRPr="00542E3E">
        <w:rPr>
          <w:rFonts w:ascii="Times New Roman" w:hAnsi="Times New Roman" w:cs="Times New Roman"/>
        </w:rPr>
        <w:t>: 24.</w:t>
      </w:r>
      <w:r w:rsidRPr="00542E3E">
        <w:rPr>
          <w:rFonts w:ascii="Times New Roman" w:hAnsi="Times New Roman" w:cs="Times New Roman"/>
        </w:rPr>
        <w:fldChar w:fldCharType="end"/>
      </w:r>
    </w:p>
  </w:footnote>
  <w:footnote w:id="28">
    <w:p w14:paraId="29683628" w14:textId="263956CD"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{"citationID":"FF0p2AlE","properties":{"formattedCitation":"Mai Chi, \\uc0\\u8220{}C\\uc0\\u7849{}n tr\\uc0\\u7885{}ng v\\uc0\\u7899{}i th\\uc0\\u7887{}a thu\\uc0\\u7853{}n b\\uc0\\u7843{}o m\\uc0\\u7853{}t,\\uc0\\u8221{} {\\i{}Ng\\uc0\\u432{}\\uc0\\u7901{}i lao \\uc0\\u273{}\\uc0\\u7897{}ng Online}, June 19, 2018, https://nld.com.vn/news-20180618192839114.htm.","plainCitation":"Mai Chi, “Cẩn trọng với thỏa thuận bảo mật,” Người lao động Online, June 19, 2018, https://nld.com.vn/news-20180618192839114.htm.","noteIndex":28},"citationItems":[{"id":1150,"uris":["http://zotero.org/users/1192080/items/TYW7H9AH"],"uri":["http://zotero.org/users/1192080/items/TYW7H9AH"],"itemData":{"id":1150,"type":"article-newspaper","title":"Cẩn trọng với thỏa thuận bảo mật","container-title":"Người lao động Online","publisher-place":"Tp.HCM, VN","event-place":"Tp.HCM, VN","abstract":"Nhiều tranh cãi liên quan đến việc ký thỏa thuận bảo mật thông tin trong quan hệ lao động đã được gợi mở sau một phiên tòa","URL":"https://nld.com.vn/news-20180618192839114.htm","language":"vi","author":[{"family":"Mai Chi","given":""}],"issued":{"date-parts":[["2018",6,19]]},"accessed":{"date-parts":[["2018",7,7]]}}}],"schema":"https://github.com/citation-style-language/schema/raw/master/csl-citation.json"}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 xml:space="preserve">Mai Chi, “Cẩn trọng với thỏa thuận bảo mật,” </w:t>
      </w:r>
      <w:r w:rsidRPr="00542E3E">
        <w:rPr>
          <w:rFonts w:ascii="Times New Roman" w:hAnsi="Times New Roman" w:cs="Times New Roman"/>
          <w:i/>
          <w:iCs/>
          <w:lang w:val="vi-VN"/>
        </w:rPr>
        <w:t>Người lao động Online</w:t>
      </w:r>
      <w:r w:rsidRPr="00542E3E">
        <w:rPr>
          <w:rFonts w:ascii="Times New Roman" w:hAnsi="Times New Roman" w:cs="Times New Roman"/>
          <w:lang w:val="vi-VN"/>
        </w:rPr>
        <w:t>, June 19, 2018, https://nld.com.vn/news-20180618192839114.htm.</w:t>
      </w:r>
      <w:r w:rsidRPr="00542E3E">
        <w:rPr>
          <w:rFonts w:ascii="Times New Roman" w:hAnsi="Times New Roman" w:cs="Times New Roman"/>
        </w:rPr>
        <w:fldChar w:fldCharType="end"/>
      </w:r>
    </w:p>
  </w:footnote>
  <w:footnote w:id="29">
    <w:p w14:paraId="690007B9" w14:textId="5E1F32D3"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Toà viện dẫn quy định tại </w:t>
      </w:r>
      <w:r w:rsidRPr="00542E3E">
        <w:rPr>
          <w:rFonts w:ascii="Times New Roman" w:hAnsi="Times New Roman" w:cs="Times New Roman"/>
          <w:color w:val="333333"/>
          <w:lang w:val="vi-VN"/>
        </w:rPr>
        <w:t xml:space="preserve">điều 35 Hiến pháp, điều 49 Bộ Luật Dân sự, điều 5 của Bộ Luật Lao động và điều 9 Luật Việc làm. </w:t>
      </w:r>
    </w:p>
  </w:footnote>
  <w:footnote w:id="30">
    <w:p w14:paraId="1AEC95B0" w14:textId="511DE98A"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{"citationID":"rwcMWj9F","properties":{"formattedCitation":"Mai Chi, \\uc0\\u8220{}C\\uc0\\u7849{}n tr\\uc0\\u7885{}ng v\\uc0\\u7899{}i th\\uc0\\u7887{}a thu\\uc0\\u7853{}n b\\uc0\\u7843{}o m\\uc0\\u7853{}t.\\uc0\\u8221{}","plainCitation":"Mai Chi, “Cẩn trọng với thỏa thuận bảo mật.”","noteIndex":30},"citationItems":[{"id":1150,"uris":["http://zotero.org/users/1192080/items/TYW7H9AH"],"uri":["http://zotero.org/users/1192080/items/TYW7H9AH"],"itemData":{"id":1150,"type":"article-newspaper","title":"Cẩn trọng với thỏa thuận bảo mật","container-title":"Người lao động Online","publisher-place":"Tp.HCM, VN","event-place":"Tp.HCM, VN","abstract":"Nhiều tranh cãi liên quan đến việc ký thỏa thuận bảo mật thông tin trong quan hệ lao động đã được gợi mở sau một phiên tòa","URL":"https://nld.com.vn/news-20180618192839114.htm","language":"vi","author":[{"family":"Mai Chi","given":""}],"issued":{"date-parts":[["2018",6,19]]},"accessed":{"date-parts":[["2018",7,7]]}}}],"schema":"https://github.com/citation-style-language/schema/raw/master/csl-citation.json"}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Mai Chi, “Cẩn trọng với thỏa thuận bảo mật.”</w:t>
      </w:r>
      <w:r w:rsidRPr="00542E3E">
        <w:rPr>
          <w:rFonts w:ascii="Times New Roman" w:hAnsi="Times New Roman" w:cs="Times New Roman"/>
        </w:rPr>
        <w:fldChar w:fldCharType="end"/>
      </w:r>
    </w:p>
  </w:footnote>
  <w:footnote w:id="31">
    <w:p w14:paraId="4C4ABCD2" w14:textId="2CE3EDE2"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{"citationID":"VFD80zYS","properties":{"formattedCitation":"\\uc0\\u272{}o\\uc0\\u224{}n Th\\uc0\\u7883{} Ph\\uc0\\u432{}\\uc0\\u417{}ng Di\\uc0\\u7879{}p, \\uc0\\u8220{}\\uc0\\u272{}i\\uc0\\u7873{}u Kho\\uc0\\u7843{}n B\\uc0\\u7843{}o M\\uc0\\u7853{}t \\uc0\\u8211{} H\\uc0\\u7841{}n Ch\\uc0\\u7871{} C\\uc0\\u7841{}nh Tranh Trong H\\uc0\\u7907{}p \\uc0\\u272{}\\uc0\\u7891{}ng Lao \\uc0\\u272{}\\uc0\\u7897{}ng,\\uc0\\u8221{} {\\i{}Nghi\\uc0\\u234{}n C\\uc0\\u7913{}u L\\uc0\\u7853{}p Ph\\uc0\\u225{}p} 12, no. 2 (24/2015) (December 2015), http://tlpl.moj.gov.vn/Pages/chi-tiet-bai-trich.aspx?ItemID=677&amp;CategoryBTTC=BTTC.","plainCitation":"Đoàn Thị Phương Diệp, “Điều Khoản Bảo Mật – Hạn Chế Cạnh Tranh Trong Hợp Đồng Lao Động,” Nghiên Cứu Lập Pháp 12, no. 2 (24/2015) (December 2015), http://tlpl.moj.gov.vn/Pages/chi-tiet-bai-trich.aspx?ItemID=677&amp;CategoryBTTC=BTTC.","dontUpdate":true,"noteIndex":31},"citationItems":[{"id":1156,"uris":["http://zotero.org/users/1192080/items/ILV55PSI"],"uri":["http://zotero.org/users/1192080/items/ILV55PSI"],"itemData":{"id":1156,"type":"article-journal","title":"Điều khoản bảo mật – hạn chế cạnh tranh trong hợp đồng lao động","container-title":"Nghiên cứu lập pháp","volume":"12","issue":"2 (24/2015)","URL":"http://tlpl.moj.gov.vn/Pages/chi-tiet-bai-trich.aspx?ItemID=677&amp;CategoryBTTC=BTTC","author":[{"family":"Đoàn Thị Phương Diệp","given":""}],"issued":{"date-parts":[["2015",12]]},"accessed":{"date-parts":[["2018",7,7]]}}}],"schema":"https://github.com/citation-style-language/schema/raw/master/csl-citation.json"} </w:instrText>
      </w:r>
      <w:r w:rsidRPr="00542E3E">
        <w:rPr>
          <w:rFonts w:ascii="Times New Roman" w:hAnsi="Times New Roman" w:cs="Times New Roman"/>
        </w:rPr>
        <w:fldChar w:fldCharType="separate"/>
      </w:r>
      <w:r w:rsidR="00C36AB7" w:rsidRPr="00542E3E">
        <w:rPr>
          <w:rFonts w:ascii="Times New Roman" w:hAnsi="Times New Roman" w:cs="Times New Roman"/>
          <w:lang w:val="vi-VN"/>
        </w:rPr>
        <w:t xml:space="preserve">Đoàn Thị Phương Diệp, “Điều Khoản Bảo Mật – Hạn Chế Cạnh Tranh Trong Hợp Đồng Lao Động,” </w:t>
      </w:r>
      <w:r w:rsidR="00C36AB7" w:rsidRPr="00542E3E">
        <w:rPr>
          <w:rFonts w:ascii="Times New Roman" w:hAnsi="Times New Roman" w:cs="Times New Roman"/>
          <w:i/>
          <w:iCs/>
          <w:lang w:val="vi-VN"/>
        </w:rPr>
        <w:t>Nghiên Cứu Lập Pháp</w:t>
      </w:r>
      <w:r w:rsidR="00C36AB7" w:rsidRPr="00542E3E">
        <w:rPr>
          <w:rFonts w:ascii="Times New Roman" w:hAnsi="Times New Roman" w:cs="Times New Roman"/>
          <w:lang w:val="vi-VN"/>
        </w:rPr>
        <w:t xml:space="preserve"> 12, n</w:t>
      </w:r>
      <w:r w:rsidR="001C5C6E" w:rsidRPr="00542E3E">
        <w:rPr>
          <w:rFonts w:ascii="Times New Roman" w:hAnsi="Times New Roman" w:cs="Times New Roman"/>
          <w:lang w:val="vi-VN"/>
        </w:rPr>
        <w:t>o. 2 (24/2015) (December 2015)</w:t>
      </w:r>
      <w:r w:rsidR="00C36AB7" w:rsidRPr="00542E3E">
        <w:rPr>
          <w:rFonts w:ascii="Times New Roman" w:hAnsi="Times New Roman" w:cs="Times New Roman"/>
          <w:lang w:val="vi-VN"/>
        </w:rPr>
        <w:t>.</w:t>
      </w:r>
      <w:r w:rsidRPr="00542E3E">
        <w:rPr>
          <w:rFonts w:ascii="Times New Roman" w:hAnsi="Times New Roman" w:cs="Times New Roman"/>
        </w:rPr>
        <w:fldChar w:fldCharType="end"/>
      </w:r>
    </w:p>
  </w:footnote>
  <w:footnote w:id="32">
    <w:p w14:paraId="4EB9350C" w14:textId="37625CED"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lang w:val="vi-VN"/>
        </w:rPr>
        <w:t xml:space="preserve"> </w:t>
      </w:r>
      <w:r w:rsidRPr="00542E3E">
        <w:rPr>
          <w:rFonts w:ascii="Times New Roman" w:hAnsi="Times New Roman" w:cs="Times New Roman"/>
        </w:rPr>
        <w:fldChar w:fldCharType="begin"/>
      </w:r>
      <w:r w:rsidR="00542E3E" w:rsidRPr="00542E3E">
        <w:rPr>
          <w:rFonts w:ascii="Times New Roman" w:hAnsi="Times New Roman" w:cs="Times New Roman"/>
          <w:lang w:val="vi-VN"/>
        </w:rPr>
        <w:instrText xml:space="preserve"> ADDIN ZOTERO_ITEM CSL_CITATION {"citationID":"RW5e28gg","properties":{"formattedCitation":"Tr\\uc0\\u7847{}n V\\uc0\\u259{}n Tr\\uc0\\u237{}, \\uc0\\u8220{}Kh\\uc0\\u244{}ng \\uc0\\u272{}\\uc0\\u432{}\\uc0\\u7907{}c L\\uc0\\u224{}m Vi\\uc0\\u7879{}c Cho \\uc0\\u272{}\\uc0\\u7889{}i Th\\uc0\\u7911{} C\\uc0\\u7841{}nh Tranh - \\uc0\\u272{}\\uc0\\u432{}\\uc0\\u7907{}c Ph\\uc0\\u225{}p Lu\\uc0\\u7853{}t Th\\uc0\\u7915{}a Nh\\uc0\\u7853{}n,\\uc0\\u8221{} {\\i{}Th\\uc0\\u7901{}i B\\uc0\\u225{}o Kinh T\\uc0\\u7871{} S\\uc0\\u224{}i G\\uc0\\u242{}n Online}, June 25, 2018, http://www.thesaigontimes.vn/274109/khong-duoc-lam-viec-cho-doi-thu-canh-tranh--duoc-phap-luat-thua-nhan.html.","plainCitation":"Trần Văn Trí, “Không Được Làm Việc Cho Đối Thủ Cạnh Tranh - Được Pháp Luật Thừa Nhận,” Thời Báo Kinh Tế Sài Gòn Online, June 25, 2018, http://www.thesaigontimes.vn/274109/khong-duoc-lam-viec-cho-doi-thu-canh-tranh--duoc-phap-luat-thua-nhan.html.","noteIndex":32},"citationItems":[{"id":1154,"uris":["http://zotero.org/users/1192080/items/8TLEDLW2"],"uri":["http://zotero.org/users/1192080/items/8TLEDLW2"],"itemData":{"id":1154,"type":"article-magazine","title":"Không được làm việc cho đối thủ cạnh tranh - được pháp luật thừa nhận","container-title":"Thời báo kinh tế Sài Gòn Online","abstract":"(TBKTSG) - Ngày 12-6-2018, Tòa án nhân dân TPHCM đã ra phán quyết thừa nhận thỏa thuận không được làm việc cho đối thủ cạnh tranh có hiệu lực thi hành, được pháp luật bảo đảm thực thi. Đây là một trong những nội dung có ý nghĩa hết sức quan trọng vì nó làm thay đổi toàn bộ nhận thức của người lao động (NLĐ) khi giao kết các thỏa thuận với người sử dụng lao động (NSDLĐ)., (TBKTSG) - Ngày 12-6-2018, Tòa án nhân dân TPHCM đã ra phán quyết thừa nhận thỏa thuận không được làm việc cho đối thủ cạnh tranh có hiệu lực thi hành, được pháp luật bảo đảm thực thi. Đây là một trong những nội dung có ý nghĩa hết sức quan trọng vì nó làm thay đổi toàn bộ nhận thức của người lao động (NLĐ) khi giao kết các thỏa thuận với người sử dụng lao động (NSDLĐ)., (TBKTSG) - Ngày 12-6-2018, Tòa án nhân dân TPHCM đã ra phán quyết thừa nhận thỏa thuận không được làm việc cho đối thủ cạnh tranh có hiệu lực thi hành, được pháp luật bảo đảm thực thi. Đây là một trong những nội dung có ý nghĩa hết sức quan trọng vì nó làm thay đổi toàn bộ nhận thức của người lao động (NLĐ) khi giao kết các thỏa thuận với người sử dụng lao động (NSDLĐ).","URL":"http://www.thesaigontimes.vn/274109/khong-duoc-lam-viec-cho-doi-thu-canh-tranh--duoc-phap-luat-thua-nhan.html","author":[{"family":"Trần Văn Trí","given":""}],"issued":{"date-parts":[["2018",6,25]]},"accessed":{"date-parts":[["2018",7,7]]}}}],"schema":"https://github.com/citation-style-language/schema/raw/master/csl-citation.json"}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lang w:val="vi-VN"/>
        </w:rPr>
        <w:t xml:space="preserve">Trần Văn Trí, “Không Được Làm Việc Cho Đối Thủ Cạnh Tranh - Được Pháp Luật Thừa Nhận,” </w:t>
      </w:r>
      <w:r w:rsidRPr="00542E3E">
        <w:rPr>
          <w:rFonts w:ascii="Times New Roman" w:hAnsi="Times New Roman" w:cs="Times New Roman"/>
          <w:i/>
          <w:iCs/>
          <w:lang w:val="vi-VN"/>
        </w:rPr>
        <w:t>Thời Báo Kinh Tế Sài Gòn Online</w:t>
      </w:r>
      <w:r w:rsidR="00542E3E">
        <w:rPr>
          <w:rFonts w:ascii="Times New Roman" w:hAnsi="Times New Roman" w:cs="Times New Roman"/>
          <w:lang w:val="vi-VN"/>
        </w:rPr>
        <w:t>, June 25, 2018</w:t>
      </w:r>
      <w:r w:rsidRPr="00542E3E">
        <w:rPr>
          <w:rFonts w:ascii="Times New Roman" w:hAnsi="Times New Roman" w:cs="Times New Roman"/>
          <w:lang w:val="vi-VN"/>
        </w:rPr>
        <w:t>.</w:t>
      </w:r>
      <w:r w:rsidRPr="00542E3E">
        <w:rPr>
          <w:rFonts w:ascii="Times New Roman" w:hAnsi="Times New Roman" w:cs="Times New Roman"/>
        </w:rPr>
        <w:fldChar w:fldCharType="end"/>
      </w:r>
    </w:p>
  </w:footnote>
  <w:footnote w:id="33">
    <w:p w14:paraId="73558B20" w14:textId="353D8236" w:rsidR="00707551" w:rsidRPr="00542E3E" w:rsidRDefault="00707551" w:rsidP="00542E3E">
      <w:pPr>
        <w:pStyle w:val="FootnoteText"/>
        <w:adjustRightInd w:val="0"/>
        <w:snapToGrid w:val="0"/>
        <w:spacing w:after="80"/>
        <w:jc w:val="both"/>
        <w:rPr>
          <w:rFonts w:ascii="Times New Roman" w:hAnsi="Times New Roman" w:cs="Times New Roman"/>
          <w:lang w:val="vi-VN"/>
        </w:rPr>
      </w:pPr>
      <w:r w:rsidRPr="00AC6F72">
        <w:rPr>
          <w:rStyle w:val="FootnoteReference"/>
        </w:rPr>
        <w:footnoteRef/>
      </w:r>
      <w:r w:rsidRPr="00542E3E">
        <w:rPr>
          <w:rFonts w:ascii="Times New Roman" w:hAnsi="Times New Roman" w:cs="Times New Roman"/>
        </w:rPr>
        <w:t xml:space="preserve"> </w:t>
      </w:r>
      <w:r w:rsidRPr="00542E3E">
        <w:rPr>
          <w:rFonts w:ascii="Times New Roman" w:hAnsi="Times New Roman" w:cs="Times New Roman"/>
        </w:rPr>
        <w:fldChar w:fldCharType="begin"/>
      </w:r>
      <w:r w:rsidR="00542E3E" w:rsidRPr="00542E3E">
        <w:rPr>
          <w:rFonts w:ascii="Times New Roman" w:hAnsi="Times New Roman" w:cs="Times New Roman"/>
        </w:rPr>
        <w:instrText xml:space="preserve"> ADDIN ZOTERO_ITEM CSL_CITATION {"citationID":"PAIujxMp","properties":{"formattedCitation":"Xem th\\uc0\\u234{}m: US Whitehouse, \\uc0\\u8220{}State Call to Action on Non-Compete Agreements.\\uc0\\u8221{}","plainCitation":"Xem thêm: US Whitehouse, “State Call to Action on Non-Compete Agreements.”","noteIndex":33},"citationItems":[{"id":1133,"uris":["http://zotero.org/users/1192080/items/5C8VUMHX"],"uri":["http://zotero.org/users/1192080/items/5C8VUMHX"],"itemData":{"id":1133,"type":"report","title":"State Call to Action on Non-Compete Agreements","publisher-place":"US - Washington, DC","event-place":"US - Washington, DC","URL":"https://obamawhitehouse.archives.gov/sites/default/files/competition/noncompetes-calltoaction-final.pdf","language":"en-US","author":[{"family":"US Whitehouse","given":""}],"issued":{"date-parts":[["2016",12,25]]},"accessed":{"date-parts":[["2018",7,7]]}},"prefix":"Xem thêm: "}],"schema":"https://github.com/citation-style-language/schema/raw/master/csl-citation.json"} </w:instrText>
      </w:r>
      <w:r w:rsidRPr="00542E3E">
        <w:rPr>
          <w:rFonts w:ascii="Times New Roman" w:hAnsi="Times New Roman" w:cs="Times New Roman"/>
        </w:rPr>
        <w:fldChar w:fldCharType="separate"/>
      </w:r>
      <w:r w:rsidRPr="00542E3E">
        <w:rPr>
          <w:rFonts w:ascii="Times New Roman" w:hAnsi="Times New Roman" w:cs="Times New Roman"/>
        </w:rPr>
        <w:t>Xem thêm: US Whitehouse, “State Call to Action on Non-Compete Agreements.”</w:t>
      </w:r>
      <w:r w:rsidRPr="00542E3E">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2CFE" w14:textId="77777777" w:rsidR="00D71A02" w:rsidRDefault="00D71A02" w:rsidP="00D71A02">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HỘI NGHỊ KHOA HỌC CỦA CÁN BỘ, GIẢNG VIÊN TRẺ VÀ NGƯỜI HỌC SAU ĐẠI HỌC </w:t>
    </w:r>
  </w:p>
  <w:p w14:paraId="27E84EA6" w14:textId="28E0833A" w:rsidR="00D71A02" w:rsidRDefault="00D71A02" w:rsidP="00D71A02">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TR</w:t>
    </w:r>
    <w:r>
      <w:rPr>
        <w:rFonts w:ascii="Times New Roman" w:eastAsia="Cambria" w:hAnsi="Times New Roman" w:cs="Times New Roman"/>
        <w:color w:val="222222"/>
        <w:sz w:val="20"/>
        <w:szCs w:val="20"/>
      </w:rPr>
      <w:t>ƯỜ</w:t>
    </w:r>
    <w:r>
      <w:rPr>
        <w:rFonts w:ascii="Cambria" w:eastAsia="Cambria" w:hAnsi="Cambria" w:cs="Cambria"/>
        <w:color w:val="222222"/>
        <w:sz w:val="20"/>
        <w:szCs w:val="20"/>
      </w:rPr>
      <w:t>NG Đ</w:t>
    </w:r>
    <w:r>
      <w:rPr>
        <w:rFonts w:ascii="Times New Roman" w:eastAsia="Cambria" w:hAnsi="Times New Roman" w:cs="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C KINH T</w:t>
    </w:r>
    <w:r>
      <w:rPr>
        <w:rFonts w:ascii="Times New Roman" w:eastAsia="Cambria" w:hAnsi="Times New Roman" w:cs="Times New Roman"/>
        <w:color w:val="222222"/>
        <w:sz w:val="20"/>
        <w:szCs w:val="20"/>
      </w:rPr>
      <w:t>Ế</w:t>
    </w:r>
    <w:r>
      <w:rPr>
        <w:rFonts w:ascii="Cambria" w:eastAsia="Cambria" w:hAnsi="Cambria" w:cs="Cambria"/>
        <w:color w:val="222222"/>
        <w:sz w:val="20"/>
        <w:szCs w:val="20"/>
      </w:rPr>
      <w:t xml:space="preserve"> - LU</w:t>
    </w:r>
    <w:r>
      <w:rPr>
        <w:rFonts w:ascii="Times New Roman" w:eastAsia="Cambria" w:hAnsi="Times New Roman" w:cs="Times New Roman"/>
        <w:color w:val="222222"/>
        <w:sz w:val="20"/>
        <w:szCs w:val="20"/>
      </w:rPr>
      <w:t>Ậ</w:t>
    </w:r>
    <w:r>
      <w:rPr>
        <w:rFonts w:ascii="Cambria" w:eastAsia="Cambria" w:hAnsi="Cambria" w:cs="Cambria"/>
        <w:color w:val="222222"/>
        <w:sz w:val="20"/>
        <w:szCs w:val="20"/>
      </w:rPr>
      <w:t>T NĂM 2019</w:t>
    </w:r>
  </w:p>
  <w:p w14:paraId="481708CF" w14:textId="77777777" w:rsidR="00D71A02" w:rsidRPr="00D71A02" w:rsidRDefault="00D71A02" w:rsidP="00D71A02">
    <w:pPr>
      <w:shd w:val="clear" w:color="auto" w:fill="FFFFFF"/>
      <w:spacing w:after="0" w:line="240" w:lineRule="auto"/>
      <w:rPr>
        <w:rFonts w:ascii="Cambria" w:eastAsia="Cambria" w:hAnsi="Cambria" w:cs="Cambria"/>
        <w:color w:val="22222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22C85"/>
    <w:multiLevelType w:val="hybridMultilevel"/>
    <w:tmpl w:val="E0AA651C"/>
    <w:lvl w:ilvl="0" w:tplc="54CA6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41701"/>
    <w:multiLevelType w:val="hybridMultilevel"/>
    <w:tmpl w:val="D77AF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D83D1F"/>
    <w:multiLevelType w:val="hybridMultilevel"/>
    <w:tmpl w:val="E23E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F3"/>
    <w:rsid w:val="00016169"/>
    <w:rsid w:val="000304A7"/>
    <w:rsid w:val="00033E04"/>
    <w:rsid w:val="00034B76"/>
    <w:rsid w:val="0004560C"/>
    <w:rsid w:val="00053F9C"/>
    <w:rsid w:val="00070A80"/>
    <w:rsid w:val="00086623"/>
    <w:rsid w:val="000B6945"/>
    <w:rsid w:val="000C03C4"/>
    <w:rsid w:val="000D40CB"/>
    <w:rsid w:val="000E1896"/>
    <w:rsid w:val="000E3446"/>
    <w:rsid w:val="000E3C4D"/>
    <w:rsid w:val="000F0259"/>
    <w:rsid w:val="000F5DAD"/>
    <w:rsid w:val="00162658"/>
    <w:rsid w:val="001857E1"/>
    <w:rsid w:val="00193B89"/>
    <w:rsid w:val="001C5C6E"/>
    <w:rsid w:val="001C7EF8"/>
    <w:rsid w:val="001F77CC"/>
    <w:rsid w:val="0021598F"/>
    <w:rsid w:val="00215EA9"/>
    <w:rsid w:val="0025354A"/>
    <w:rsid w:val="002632BA"/>
    <w:rsid w:val="002754B7"/>
    <w:rsid w:val="002802E6"/>
    <w:rsid w:val="002903E9"/>
    <w:rsid w:val="002A67CA"/>
    <w:rsid w:val="002B721C"/>
    <w:rsid w:val="002C169B"/>
    <w:rsid w:val="002C7EE1"/>
    <w:rsid w:val="002D0730"/>
    <w:rsid w:val="002F24F2"/>
    <w:rsid w:val="0031246C"/>
    <w:rsid w:val="00332013"/>
    <w:rsid w:val="003451C0"/>
    <w:rsid w:val="00362A56"/>
    <w:rsid w:val="003A5D07"/>
    <w:rsid w:val="003A6C72"/>
    <w:rsid w:val="003B0728"/>
    <w:rsid w:val="003D0370"/>
    <w:rsid w:val="003F7193"/>
    <w:rsid w:val="00402017"/>
    <w:rsid w:val="00403DCE"/>
    <w:rsid w:val="004066DC"/>
    <w:rsid w:val="00423D92"/>
    <w:rsid w:val="00427346"/>
    <w:rsid w:val="00437BD8"/>
    <w:rsid w:val="00507BAC"/>
    <w:rsid w:val="00527DF2"/>
    <w:rsid w:val="00542E3E"/>
    <w:rsid w:val="005543D0"/>
    <w:rsid w:val="005622CA"/>
    <w:rsid w:val="00574614"/>
    <w:rsid w:val="00575505"/>
    <w:rsid w:val="00576089"/>
    <w:rsid w:val="00581609"/>
    <w:rsid w:val="00584F1A"/>
    <w:rsid w:val="00592629"/>
    <w:rsid w:val="00594511"/>
    <w:rsid w:val="005A3D4E"/>
    <w:rsid w:val="005F6958"/>
    <w:rsid w:val="00626DB1"/>
    <w:rsid w:val="0065093A"/>
    <w:rsid w:val="00652A23"/>
    <w:rsid w:val="0066538C"/>
    <w:rsid w:val="0069114C"/>
    <w:rsid w:val="006B4F10"/>
    <w:rsid w:val="006D54B4"/>
    <w:rsid w:val="006E2EB6"/>
    <w:rsid w:val="006E3D0C"/>
    <w:rsid w:val="006F4ED8"/>
    <w:rsid w:val="007010DE"/>
    <w:rsid w:val="00707551"/>
    <w:rsid w:val="007111DB"/>
    <w:rsid w:val="00720047"/>
    <w:rsid w:val="00730B12"/>
    <w:rsid w:val="00733BF0"/>
    <w:rsid w:val="007401EB"/>
    <w:rsid w:val="00741AFD"/>
    <w:rsid w:val="007625B3"/>
    <w:rsid w:val="00762683"/>
    <w:rsid w:val="00764516"/>
    <w:rsid w:val="007E7167"/>
    <w:rsid w:val="007F0159"/>
    <w:rsid w:val="008204F7"/>
    <w:rsid w:val="0085515A"/>
    <w:rsid w:val="008551DE"/>
    <w:rsid w:val="00863F09"/>
    <w:rsid w:val="00893F3D"/>
    <w:rsid w:val="008A097F"/>
    <w:rsid w:val="008B39CB"/>
    <w:rsid w:val="008C5F21"/>
    <w:rsid w:val="008D2E7B"/>
    <w:rsid w:val="008D4EAC"/>
    <w:rsid w:val="008D5686"/>
    <w:rsid w:val="00920336"/>
    <w:rsid w:val="00935CD2"/>
    <w:rsid w:val="00943801"/>
    <w:rsid w:val="00955CC4"/>
    <w:rsid w:val="009751A2"/>
    <w:rsid w:val="00984761"/>
    <w:rsid w:val="00987AA8"/>
    <w:rsid w:val="009A0DDA"/>
    <w:rsid w:val="009A45C7"/>
    <w:rsid w:val="009A5B76"/>
    <w:rsid w:val="009C3026"/>
    <w:rsid w:val="00A24FEE"/>
    <w:rsid w:val="00A8506A"/>
    <w:rsid w:val="00A87CAB"/>
    <w:rsid w:val="00A93E34"/>
    <w:rsid w:val="00AA0E89"/>
    <w:rsid w:val="00AA19C4"/>
    <w:rsid w:val="00AA1BA4"/>
    <w:rsid w:val="00AC6F72"/>
    <w:rsid w:val="00AD2A36"/>
    <w:rsid w:val="00B021CD"/>
    <w:rsid w:val="00B23542"/>
    <w:rsid w:val="00B23CB4"/>
    <w:rsid w:val="00B539F3"/>
    <w:rsid w:val="00B87971"/>
    <w:rsid w:val="00B94594"/>
    <w:rsid w:val="00BA12C3"/>
    <w:rsid w:val="00BC4E8A"/>
    <w:rsid w:val="00BE65C8"/>
    <w:rsid w:val="00BE79E2"/>
    <w:rsid w:val="00C36AB7"/>
    <w:rsid w:val="00C37931"/>
    <w:rsid w:val="00C83BB1"/>
    <w:rsid w:val="00C86319"/>
    <w:rsid w:val="00C97840"/>
    <w:rsid w:val="00CA531A"/>
    <w:rsid w:val="00CA605C"/>
    <w:rsid w:val="00CB71D5"/>
    <w:rsid w:val="00CC1F44"/>
    <w:rsid w:val="00D6261F"/>
    <w:rsid w:val="00D64B5B"/>
    <w:rsid w:val="00D71A02"/>
    <w:rsid w:val="00D72FB9"/>
    <w:rsid w:val="00D74AC5"/>
    <w:rsid w:val="00DB537E"/>
    <w:rsid w:val="00DC3A10"/>
    <w:rsid w:val="00DC4658"/>
    <w:rsid w:val="00DC7E26"/>
    <w:rsid w:val="00DE70D4"/>
    <w:rsid w:val="00DF46D2"/>
    <w:rsid w:val="00E747D1"/>
    <w:rsid w:val="00E95A53"/>
    <w:rsid w:val="00EB03C2"/>
    <w:rsid w:val="00EC504B"/>
    <w:rsid w:val="00ED1850"/>
    <w:rsid w:val="00EE031B"/>
    <w:rsid w:val="00F004F3"/>
    <w:rsid w:val="00F0502F"/>
    <w:rsid w:val="00F222FB"/>
    <w:rsid w:val="00F22D69"/>
    <w:rsid w:val="00F33C96"/>
    <w:rsid w:val="00F33E92"/>
    <w:rsid w:val="00F43193"/>
    <w:rsid w:val="00F4401F"/>
    <w:rsid w:val="00F71CF0"/>
    <w:rsid w:val="00F72562"/>
    <w:rsid w:val="00F8670C"/>
    <w:rsid w:val="00F902C1"/>
    <w:rsid w:val="00FC3372"/>
    <w:rsid w:val="00FD5DF1"/>
    <w:rsid w:val="00FF0CAE"/>
    <w:rsid w:val="00FF7A1A"/>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C921D"/>
  <w15:docId w15:val="{B41468A6-9615-40CB-9759-46F2D94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401EB"/>
    <w:rPr>
      <w:rFonts w:ascii="ArialMT" w:hAnsi="ArialMT" w:hint="default"/>
      <w:b w:val="0"/>
      <w:bCs w:val="0"/>
      <w:i w:val="0"/>
      <w:iCs w:val="0"/>
      <w:color w:val="000000"/>
      <w:sz w:val="24"/>
      <w:szCs w:val="24"/>
    </w:rPr>
  </w:style>
  <w:style w:type="character" w:customStyle="1" w:styleId="Heading2Char">
    <w:name w:val="Heading 2 Char"/>
    <w:basedOn w:val="DefaultParagraphFont"/>
    <w:link w:val="Heading2"/>
    <w:uiPriority w:val="9"/>
    <w:rsid w:val="00576089"/>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162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658"/>
    <w:rPr>
      <w:sz w:val="20"/>
      <w:szCs w:val="20"/>
    </w:rPr>
  </w:style>
  <w:style w:type="character" w:styleId="FootnoteReference">
    <w:name w:val="footnote reference"/>
    <w:basedOn w:val="DefaultParagraphFont"/>
    <w:uiPriority w:val="99"/>
    <w:semiHidden/>
    <w:unhideWhenUsed/>
    <w:rsid w:val="00162658"/>
    <w:rPr>
      <w:vertAlign w:val="superscript"/>
    </w:rPr>
  </w:style>
  <w:style w:type="paragraph" w:styleId="ListParagraph">
    <w:name w:val="List Paragraph"/>
    <w:basedOn w:val="Normal"/>
    <w:uiPriority w:val="34"/>
    <w:qFormat/>
    <w:rsid w:val="00D72FB9"/>
    <w:pPr>
      <w:ind w:left="720"/>
      <w:contextualSpacing/>
    </w:pPr>
  </w:style>
  <w:style w:type="paragraph" w:styleId="NormalWeb">
    <w:name w:val="Normal (Web)"/>
    <w:basedOn w:val="Normal"/>
    <w:uiPriority w:val="99"/>
    <w:semiHidden/>
    <w:unhideWhenUsed/>
    <w:rsid w:val="003F719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9B"/>
  </w:style>
  <w:style w:type="character" w:styleId="PageNumber">
    <w:name w:val="page number"/>
    <w:basedOn w:val="DefaultParagraphFont"/>
    <w:uiPriority w:val="99"/>
    <w:semiHidden/>
    <w:unhideWhenUsed/>
    <w:rsid w:val="002C169B"/>
  </w:style>
  <w:style w:type="character" w:customStyle="1" w:styleId="fontstyle21">
    <w:name w:val="fontstyle21"/>
    <w:basedOn w:val="DefaultParagraphFont"/>
    <w:rsid w:val="003A5D07"/>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6D54B4"/>
    <w:rPr>
      <w:color w:val="0563C1" w:themeColor="hyperlink"/>
      <w:u w:val="single"/>
    </w:rPr>
  </w:style>
  <w:style w:type="character" w:customStyle="1" w:styleId="UnresolvedMention1">
    <w:name w:val="Unresolved Mention1"/>
    <w:basedOn w:val="DefaultParagraphFont"/>
    <w:uiPriority w:val="99"/>
    <w:semiHidden/>
    <w:unhideWhenUsed/>
    <w:rsid w:val="006D54B4"/>
    <w:rPr>
      <w:color w:val="808080"/>
      <w:shd w:val="clear" w:color="auto" w:fill="E6E6E6"/>
    </w:rPr>
  </w:style>
  <w:style w:type="paragraph" w:styleId="Bibliography">
    <w:name w:val="Bibliography"/>
    <w:basedOn w:val="Normal"/>
    <w:next w:val="Normal"/>
    <w:uiPriority w:val="37"/>
    <w:unhideWhenUsed/>
    <w:rsid w:val="00ED1850"/>
    <w:pPr>
      <w:spacing w:after="0" w:line="240" w:lineRule="auto"/>
      <w:ind w:left="720" w:hanging="720"/>
    </w:pPr>
  </w:style>
  <w:style w:type="character" w:styleId="EndnoteReference">
    <w:name w:val="endnote reference"/>
    <w:basedOn w:val="DefaultParagraphFont"/>
    <w:uiPriority w:val="99"/>
    <w:semiHidden/>
    <w:unhideWhenUsed/>
    <w:rsid w:val="00AC6F72"/>
    <w:rPr>
      <w:vertAlign w:val="superscript"/>
    </w:rPr>
  </w:style>
  <w:style w:type="character" w:styleId="CommentReference">
    <w:name w:val="annotation reference"/>
    <w:basedOn w:val="DefaultParagraphFont"/>
    <w:uiPriority w:val="99"/>
    <w:semiHidden/>
    <w:unhideWhenUsed/>
    <w:rsid w:val="00DC4658"/>
    <w:rPr>
      <w:sz w:val="16"/>
      <w:szCs w:val="16"/>
    </w:rPr>
  </w:style>
  <w:style w:type="paragraph" w:styleId="CommentText">
    <w:name w:val="annotation text"/>
    <w:basedOn w:val="Normal"/>
    <w:link w:val="CommentTextChar"/>
    <w:uiPriority w:val="99"/>
    <w:semiHidden/>
    <w:unhideWhenUsed/>
    <w:rsid w:val="00DC4658"/>
    <w:pPr>
      <w:spacing w:line="240" w:lineRule="auto"/>
    </w:pPr>
    <w:rPr>
      <w:sz w:val="20"/>
      <w:szCs w:val="20"/>
    </w:rPr>
  </w:style>
  <w:style w:type="character" w:customStyle="1" w:styleId="CommentTextChar">
    <w:name w:val="Comment Text Char"/>
    <w:basedOn w:val="DefaultParagraphFont"/>
    <w:link w:val="CommentText"/>
    <w:uiPriority w:val="99"/>
    <w:semiHidden/>
    <w:rsid w:val="00DC4658"/>
    <w:rPr>
      <w:sz w:val="20"/>
      <w:szCs w:val="20"/>
    </w:rPr>
  </w:style>
  <w:style w:type="paragraph" w:styleId="CommentSubject">
    <w:name w:val="annotation subject"/>
    <w:basedOn w:val="CommentText"/>
    <w:next w:val="CommentText"/>
    <w:link w:val="CommentSubjectChar"/>
    <w:uiPriority w:val="99"/>
    <w:semiHidden/>
    <w:unhideWhenUsed/>
    <w:rsid w:val="00DC4658"/>
    <w:rPr>
      <w:b/>
      <w:bCs/>
    </w:rPr>
  </w:style>
  <w:style w:type="character" w:customStyle="1" w:styleId="CommentSubjectChar">
    <w:name w:val="Comment Subject Char"/>
    <w:basedOn w:val="CommentTextChar"/>
    <w:link w:val="CommentSubject"/>
    <w:uiPriority w:val="99"/>
    <w:semiHidden/>
    <w:rsid w:val="00DC4658"/>
    <w:rPr>
      <w:b/>
      <w:bCs/>
      <w:sz w:val="20"/>
      <w:szCs w:val="20"/>
    </w:rPr>
  </w:style>
  <w:style w:type="paragraph" w:styleId="BalloonText">
    <w:name w:val="Balloon Text"/>
    <w:basedOn w:val="Normal"/>
    <w:link w:val="BalloonTextChar"/>
    <w:uiPriority w:val="99"/>
    <w:semiHidden/>
    <w:unhideWhenUsed/>
    <w:rsid w:val="00DC4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58"/>
    <w:rPr>
      <w:rFonts w:ascii="Segoe UI" w:hAnsi="Segoe UI" w:cs="Segoe UI"/>
      <w:sz w:val="18"/>
      <w:szCs w:val="18"/>
    </w:rPr>
  </w:style>
  <w:style w:type="paragraph" w:styleId="Revision">
    <w:name w:val="Revision"/>
    <w:hidden/>
    <w:uiPriority w:val="99"/>
    <w:semiHidden/>
    <w:rsid w:val="007111DB"/>
    <w:pPr>
      <w:spacing w:after="0" w:line="240" w:lineRule="auto"/>
    </w:pPr>
  </w:style>
  <w:style w:type="paragraph" w:styleId="Header">
    <w:name w:val="header"/>
    <w:basedOn w:val="Normal"/>
    <w:link w:val="HeaderChar"/>
    <w:uiPriority w:val="99"/>
    <w:unhideWhenUsed/>
    <w:rsid w:val="00D71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90216">
      <w:bodyDiv w:val="1"/>
      <w:marLeft w:val="0"/>
      <w:marRight w:val="0"/>
      <w:marTop w:val="0"/>
      <w:marBottom w:val="0"/>
      <w:divBdr>
        <w:top w:val="none" w:sz="0" w:space="0" w:color="auto"/>
        <w:left w:val="none" w:sz="0" w:space="0" w:color="auto"/>
        <w:bottom w:val="none" w:sz="0" w:space="0" w:color="auto"/>
        <w:right w:val="none" w:sz="0" w:space="0" w:color="auto"/>
      </w:divBdr>
    </w:div>
    <w:div w:id="500391827">
      <w:bodyDiv w:val="1"/>
      <w:marLeft w:val="0"/>
      <w:marRight w:val="0"/>
      <w:marTop w:val="0"/>
      <w:marBottom w:val="0"/>
      <w:divBdr>
        <w:top w:val="none" w:sz="0" w:space="0" w:color="auto"/>
        <w:left w:val="none" w:sz="0" w:space="0" w:color="auto"/>
        <w:bottom w:val="none" w:sz="0" w:space="0" w:color="auto"/>
        <w:right w:val="none" w:sz="0" w:space="0" w:color="auto"/>
      </w:divBdr>
    </w:div>
    <w:div w:id="638271462">
      <w:bodyDiv w:val="1"/>
      <w:marLeft w:val="0"/>
      <w:marRight w:val="0"/>
      <w:marTop w:val="0"/>
      <w:marBottom w:val="0"/>
      <w:divBdr>
        <w:top w:val="none" w:sz="0" w:space="0" w:color="auto"/>
        <w:left w:val="none" w:sz="0" w:space="0" w:color="auto"/>
        <w:bottom w:val="none" w:sz="0" w:space="0" w:color="auto"/>
        <w:right w:val="none" w:sz="0" w:space="0" w:color="auto"/>
      </w:divBdr>
    </w:div>
    <w:div w:id="768963706">
      <w:bodyDiv w:val="1"/>
      <w:marLeft w:val="0"/>
      <w:marRight w:val="0"/>
      <w:marTop w:val="0"/>
      <w:marBottom w:val="0"/>
      <w:divBdr>
        <w:top w:val="none" w:sz="0" w:space="0" w:color="auto"/>
        <w:left w:val="none" w:sz="0" w:space="0" w:color="auto"/>
        <w:bottom w:val="none" w:sz="0" w:space="0" w:color="auto"/>
        <w:right w:val="none" w:sz="0" w:space="0" w:color="auto"/>
      </w:divBdr>
    </w:div>
    <w:div w:id="1103647781">
      <w:bodyDiv w:val="1"/>
      <w:marLeft w:val="0"/>
      <w:marRight w:val="0"/>
      <w:marTop w:val="0"/>
      <w:marBottom w:val="0"/>
      <w:divBdr>
        <w:top w:val="none" w:sz="0" w:space="0" w:color="auto"/>
        <w:left w:val="none" w:sz="0" w:space="0" w:color="auto"/>
        <w:bottom w:val="none" w:sz="0" w:space="0" w:color="auto"/>
        <w:right w:val="none" w:sz="0" w:space="0" w:color="auto"/>
      </w:divBdr>
    </w:div>
    <w:div w:id="1745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D85D-FAED-41C6-B9C4-5BABC990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truong-hieu-sd@ynu.jp</dc:creator>
  <cp:lastModifiedBy>Nguyen Thai Thanh</cp:lastModifiedBy>
  <cp:revision>17</cp:revision>
  <cp:lastPrinted>2018-07-08T01:38:00Z</cp:lastPrinted>
  <dcterms:created xsi:type="dcterms:W3CDTF">2019-06-19T08:32:00Z</dcterms:created>
  <dcterms:modified xsi:type="dcterms:W3CDTF">2019-10-05T04:22:00Z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id="i8pVXwLb"/&gt;&lt;style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